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 for High Risk Digital Data Protection</w:t>
      </w:r>
    </w:p>
    <w:p w:rsidR="00000000" w:rsidDel="00000000" w:rsidP="00000000" w:rsidRDefault="00000000" w:rsidRPr="00000000">
      <w:pPr>
        <w:pBdr/>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Purpose</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university data, regardless of risk classification, must be protected with the minimum qualifications set forth by policy 7010, Policy for Securing Technology Resources and Services. Digital high risk data pertains to data where protection of the data is required by law or regulation and Virginia Tech is required to self-report to the government and/or provide notice to the individual if the data is inappropriately accessed. The unauthorized release of this data could result in a significant adverse impact on the university’s mission, safety, finances, or reputation. Therefore, additional security precautions must be taken when storing, transmitting, and/or processing such data.</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table highlights the university’s high risk data elements/types, associated university policies and standards, associated laws and regulations, and the protections required by the university for that data element/type. The first six elements (Social Security number, credit and debit card number, bank account number, driver’s license number, and passport number) are defined by the university as personally identifiable information (PII).  </w:t>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bl>
      <w:tblPr>
        <w:tblStyle w:val="Table1"/>
        <w:bidiVisual w:val="0"/>
        <w:tblW w:w="1071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1955"/>
        <w:gridCol w:w="2520"/>
        <w:gridCol w:w="4615"/>
        <w:tblGridChange w:id="0">
          <w:tblGrid>
            <w:gridCol w:w="1620"/>
            <w:gridCol w:w="1955"/>
            <w:gridCol w:w="2520"/>
            <w:gridCol w:w="4615"/>
          </w:tblGrid>
        </w:tblGridChange>
      </w:tblGrid>
      <w:tr>
        <w:tc>
          <w:tcPr/>
          <w:p w:rsidR="00000000" w:rsidDel="00000000" w:rsidP="00000000" w:rsidRDefault="00000000" w:rsidRPr="00000000">
            <w:pPr>
              <w:pBdr/>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Data element</w:t>
            </w:r>
            <w:r w:rsidDel="00000000" w:rsidR="00000000" w:rsidRPr="00000000">
              <w:rPr>
                <w:rtl w:val="0"/>
              </w:rPr>
            </w:r>
          </w:p>
        </w:tc>
        <w:tc>
          <w:tcPr/>
          <w:p w:rsidR="00000000" w:rsidDel="00000000" w:rsidP="00000000" w:rsidRDefault="00000000" w:rsidRPr="00000000">
            <w:pPr>
              <w:pBdr/>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VT policies and standards</w:t>
            </w:r>
            <w:r w:rsidDel="00000000" w:rsidR="00000000" w:rsidRPr="00000000">
              <w:rPr>
                <w:rtl w:val="0"/>
              </w:rPr>
            </w:r>
          </w:p>
        </w:tc>
        <w:tc>
          <w:tcPr/>
          <w:p w:rsidR="00000000" w:rsidDel="00000000" w:rsidP="00000000" w:rsidRDefault="00000000" w:rsidRPr="00000000">
            <w:pPr>
              <w:pBdr/>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Laws and regulations</w:t>
            </w:r>
            <w:r w:rsidDel="00000000" w:rsidR="00000000" w:rsidRPr="00000000">
              <w:rPr>
                <w:rtl w:val="0"/>
              </w:rPr>
            </w:r>
          </w:p>
        </w:tc>
        <w:tc>
          <w:tcPr/>
          <w:p w:rsidR="00000000" w:rsidDel="00000000" w:rsidP="00000000" w:rsidRDefault="00000000" w:rsidRPr="00000000">
            <w:pPr>
              <w:pBdr/>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VT </w:t>
            </w:r>
            <w:r w:rsidDel="00000000" w:rsidR="00000000" w:rsidRPr="00000000">
              <w:rPr>
                <w:rFonts w:ascii="Arial" w:cs="Arial" w:eastAsia="Arial" w:hAnsi="Arial"/>
                <w:b w:val="1"/>
                <w:sz w:val="24"/>
                <w:szCs w:val="24"/>
                <w:rtl w:val="0"/>
              </w:rPr>
              <w:t xml:space="preserve">protections</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Social Security number</w:t>
            </w:r>
          </w:p>
        </w:tc>
        <w:tc>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Policy 1060, Policy on Social Security Numbers  </w:t>
            </w:r>
            <w:hyperlink r:id="rId5">
              <w:r w:rsidDel="00000000" w:rsidR="00000000" w:rsidRPr="00000000">
                <w:rPr>
                  <w:rFonts w:ascii="Arial" w:cs="Arial" w:eastAsia="Arial" w:hAnsi="Arial"/>
                  <w:color w:val="f28943"/>
                  <w:sz w:val="22"/>
                  <w:szCs w:val="22"/>
                  <w:u w:val="single"/>
                  <w:rtl w:val="0"/>
                </w:rPr>
                <w:t xml:space="preserve">www.policies.vt.edu/1060.pdf</w:t>
              </w:r>
            </w:hyperlink>
            <w:hyperlink r:id="rId6">
              <w:r w:rsidDel="00000000" w:rsidR="00000000" w:rsidRPr="00000000">
                <w:rPr>
                  <w:rtl w:val="0"/>
                </w:rPr>
              </w:r>
            </w:hyperlink>
          </w:p>
          <w:p w:rsidR="00000000" w:rsidDel="00000000" w:rsidP="00000000" w:rsidRDefault="00000000" w:rsidRPr="00000000">
            <w:pPr>
              <w:pBdr/>
              <w:contextualSpacing w:val="0"/>
              <w:rPr>
                <w:rFonts w:ascii="Arial" w:cs="Arial" w:eastAsia="Arial" w:hAnsi="Arial"/>
                <w:sz w:val="22"/>
                <w:szCs w:val="22"/>
              </w:rPr>
            </w:pPr>
            <w:hyperlink r:id="rId7">
              <w:r w:rsidDel="00000000" w:rsidR="00000000" w:rsidRPr="00000000">
                <w:rPr>
                  <w:rtl w:val="0"/>
                </w:rPr>
              </w:r>
            </w:hyperlink>
          </w:p>
          <w:p w:rsidR="00000000" w:rsidDel="00000000" w:rsidP="00000000" w:rsidRDefault="00000000" w:rsidRPr="00000000">
            <w:pPr>
              <w:pBd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Standard for the Procurement of Information Technology Applications</w:t>
            </w:r>
          </w:p>
          <w:p w:rsidR="00000000" w:rsidDel="00000000" w:rsidP="00000000" w:rsidRDefault="00000000" w:rsidRPr="00000000">
            <w:pPr>
              <w:pBdr/>
              <w:spacing w:before="0" w:lineRule="auto"/>
              <w:contextualSpacing w:val="0"/>
              <w:rPr>
                <w:rFonts w:ascii="Arial" w:cs="Arial" w:eastAsia="Arial" w:hAnsi="Arial"/>
                <w:color w:val="000000"/>
                <w:sz w:val="22"/>
                <w:szCs w:val="22"/>
              </w:rPr>
            </w:pPr>
            <w:hyperlink r:id="rId8">
              <w:r w:rsidDel="00000000" w:rsidR="00000000" w:rsidRPr="00000000">
                <w:rPr>
                  <w:rFonts w:ascii="Arial" w:cs="Arial" w:eastAsia="Arial" w:hAnsi="Arial"/>
                  <w:color w:val="0563c1"/>
                  <w:sz w:val="22"/>
                  <w:szCs w:val="22"/>
                  <w:u w:val="single"/>
                  <w:rtl w:val="0"/>
                </w:rPr>
                <w:t xml:space="preserve">http://it.vt.edu/content/dam/it_vt_edu/policies/Procurement_STANDARD_signed_1-19-11.pdf</w:t>
              </w:r>
            </w:hyperlink>
            <w:hyperlink r:id="rId9">
              <w:r w:rsidDel="00000000" w:rsidR="00000000" w:rsidRPr="00000000">
                <w:rPr>
                  <w:rtl w:val="0"/>
                </w:rPr>
              </w:r>
            </w:hyperlink>
          </w:p>
          <w:p w:rsidR="00000000" w:rsidDel="00000000" w:rsidP="00000000" w:rsidRDefault="00000000" w:rsidRPr="00000000">
            <w:pPr>
              <w:pBdr/>
              <w:contextualSpacing w:val="0"/>
              <w:rPr>
                <w:rFonts w:ascii="Arial" w:cs="Arial" w:eastAsia="Arial" w:hAnsi="Arial"/>
                <w:color w:val="000000"/>
                <w:sz w:val="22"/>
                <w:szCs w:val="22"/>
              </w:rPr>
            </w:pPr>
            <w:hyperlink r:id="rId10">
              <w:r w:rsidDel="00000000" w:rsidR="00000000" w:rsidRPr="00000000">
                <w:rPr>
                  <w:rtl w:val="0"/>
                </w:rPr>
              </w:r>
            </w:hyperlink>
          </w:p>
          <w:p w:rsidR="00000000" w:rsidDel="00000000" w:rsidP="00000000" w:rsidRDefault="00000000" w:rsidRPr="00000000">
            <w:pPr>
              <w:pBdr/>
              <w:contextualSpacing w:val="0"/>
              <w:rPr>
                <w:rFonts w:ascii="Arial" w:cs="Arial" w:eastAsia="Arial" w:hAnsi="Arial"/>
                <w:sz w:val="22"/>
                <w:szCs w:val="22"/>
              </w:rPr>
            </w:pPr>
            <w:hyperlink r:id="rId11">
              <w:r w:rsidDel="00000000" w:rsidR="00000000" w:rsidRPr="00000000">
                <w:rPr>
                  <w:rtl w:val="0"/>
                </w:rPr>
              </w:r>
            </w:hyperlink>
          </w:p>
        </w:tc>
        <w:tc>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Code of Virginia: Collection, exposure, or display of social security number. </w:t>
            </w:r>
            <w:hyperlink r:id="rId12">
              <w:r w:rsidDel="00000000" w:rsidR="00000000" w:rsidRPr="00000000">
                <w:rPr>
                  <w:rFonts w:ascii="Arial" w:cs="Arial" w:eastAsia="Arial" w:hAnsi="Arial"/>
                  <w:color w:val="0563c1"/>
                  <w:sz w:val="22"/>
                  <w:szCs w:val="22"/>
                  <w:u w:val="single"/>
                  <w:rtl w:val="0"/>
                </w:rPr>
                <w:t xml:space="preserve">http://law.lis.virginia.gov/vacode/2.2-3808/</w:t>
              </w:r>
            </w:hyperlink>
            <w:hyperlink r:id="rId13">
              <w:r w:rsidDel="00000000" w:rsidR="00000000" w:rsidRPr="00000000">
                <w:rPr>
                  <w:rtl w:val="0"/>
                </w:rPr>
              </w:r>
            </w:hyperlink>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Code of Virginia, Breach of personal information notification. </w:t>
            </w:r>
            <w:hyperlink r:id="rId14">
              <w:r w:rsidDel="00000000" w:rsidR="00000000" w:rsidRPr="00000000">
                <w:rPr>
                  <w:rFonts w:ascii="Arial" w:cs="Arial" w:eastAsia="Arial" w:hAnsi="Arial"/>
                  <w:color w:val="0563c1"/>
                  <w:sz w:val="22"/>
                  <w:szCs w:val="22"/>
                  <w:u w:val="single"/>
                  <w:rtl w:val="0"/>
                </w:rPr>
                <w:t xml:space="preserve">http://law.lis.virginia.gov/vacode/18.2-186.6/</w:t>
              </w:r>
            </w:hyperlink>
            <w:hyperlink r:id="rId15">
              <w:r w:rsidDel="00000000" w:rsidR="00000000" w:rsidRPr="00000000">
                <w:rPr>
                  <w:rtl w:val="0"/>
                </w:rPr>
              </w:r>
            </w:hyperlink>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Code of Virginia, identity theft; penalty; restitution; victim assistance. </w:t>
            </w:r>
            <w:hyperlink r:id="rId16">
              <w:r w:rsidDel="00000000" w:rsidR="00000000" w:rsidRPr="00000000">
                <w:rPr>
                  <w:rFonts w:ascii="Arial" w:cs="Arial" w:eastAsia="Arial" w:hAnsi="Arial"/>
                  <w:color w:val="0563c1"/>
                  <w:sz w:val="22"/>
                  <w:szCs w:val="22"/>
                  <w:u w:val="single"/>
                  <w:rtl w:val="0"/>
                </w:rPr>
                <w:t xml:space="preserve">http://law.lis.virginia.gov/vacode/18.2-186.3/</w:t>
              </w:r>
            </w:hyperlink>
            <w:hyperlink r:id="rId17">
              <w:r w:rsidDel="00000000" w:rsidR="00000000" w:rsidRPr="00000000">
                <w:rPr>
                  <w:rtl w:val="0"/>
                </w:rPr>
              </w:r>
            </w:hyperlink>
          </w:p>
        </w:tc>
        <w:tc>
          <w:tcPr/>
          <w:p w:rsidR="00000000" w:rsidDel="00000000" w:rsidP="00000000" w:rsidRDefault="00000000" w:rsidRPr="00000000">
            <w:pPr>
              <w:numPr>
                <w:ilvl w:val="0"/>
                <w:numId w:val="1"/>
              </w:numPr>
              <w:pBdr/>
              <w:spacing w:after="0" w:lineRule="auto"/>
              <w:ind w:left="162" w:hanging="180"/>
              <w:contextualSpacing w:val="1"/>
              <w:rPr>
                <w:sz w:val="22"/>
                <w:szCs w:val="22"/>
              </w:rPr>
            </w:pPr>
            <w:r w:rsidDel="00000000" w:rsidR="00000000" w:rsidRPr="00000000">
              <w:rPr>
                <w:rFonts w:ascii="Arial" w:cs="Arial" w:eastAsia="Arial" w:hAnsi="Arial"/>
                <w:sz w:val="22"/>
                <w:szCs w:val="22"/>
                <w:rtl w:val="0"/>
              </w:rPr>
              <w:t xml:space="preserve">Usage and collection must be approved by data trustee, Vice President for Finance and </w:t>
            </w:r>
            <w:r w:rsidDel="00000000" w:rsidR="00000000" w:rsidRPr="00000000">
              <w:rPr>
                <w:rFonts w:ascii="Arial" w:cs="Arial" w:eastAsia="Arial" w:hAnsi="Arial"/>
                <w:sz w:val="22"/>
                <w:szCs w:val="22"/>
                <w:rtl w:val="0"/>
              </w:rPr>
              <w:t xml:space="preserve">Chief</w:t>
            </w:r>
            <w:r w:rsidDel="00000000" w:rsidR="00000000" w:rsidRPr="00000000">
              <w:rPr>
                <w:rFonts w:ascii="Arial" w:cs="Arial" w:eastAsia="Arial" w:hAnsi="Arial"/>
                <w:sz w:val="22"/>
                <w:szCs w:val="22"/>
                <w:rtl w:val="0"/>
              </w:rPr>
              <w:t xml:space="preserve"> Financial Officer</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pPr>
              <w:numPr>
                <w:ilvl w:val="0"/>
                <w:numId w:val="1"/>
              </w:numPr>
              <w:pBdr/>
              <w:spacing w:after="0" w:before="0" w:lineRule="auto"/>
              <w:ind w:left="162" w:hanging="180"/>
              <w:contextualSpacing w:val="1"/>
              <w:rPr>
                <w:sz w:val="22"/>
                <w:szCs w:val="22"/>
              </w:rPr>
            </w:pPr>
            <w:r w:rsidDel="00000000" w:rsidR="00000000" w:rsidRPr="00000000">
              <w:rPr>
                <w:rFonts w:ascii="Arial" w:cs="Arial" w:eastAsia="Arial" w:hAnsi="Arial"/>
                <w:color w:val="000000"/>
                <w:sz w:val="22"/>
                <w:szCs w:val="22"/>
                <w:rtl w:val="0"/>
              </w:rPr>
              <w:t xml:space="preserve">E</w:t>
            </w:r>
            <w:r w:rsidDel="00000000" w:rsidR="00000000" w:rsidRPr="00000000">
              <w:rPr>
                <w:rFonts w:ascii="Arial" w:cs="Arial" w:eastAsia="Arial" w:hAnsi="Arial"/>
                <w:sz w:val="22"/>
                <w:szCs w:val="22"/>
                <w:rtl w:val="0"/>
              </w:rPr>
              <w:t xml:space="preserve">ncrypt the data file/database element in storage and in </w:t>
            </w:r>
            <w:r w:rsidDel="00000000" w:rsidR="00000000" w:rsidRPr="00000000">
              <w:rPr>
                <w:rFonts w:ascii="Arial" w:cs="Arial" w:eastAsia="Arial" w:hAnsi="Arial"/>
                <w:sz w:val="22"/>
                <w:szCs w:val="22"/>
                <w:rtl w:val="0"/>
              </w:rPr>
              <w:t xml:space="preserve">transmission</w:t>
            </w:r>
            <w:r w:rsidDel="00000000" w:rsidR="00000000" w:rsidRPr="00000000">
              <w:rPr>
                <w:rFonts w:ascii="Arial" w:cs="Arial" w:eastAsia="Arial" w:hAnsi="Arial"/>
                <w:sz w:val="22"/>
                <w:szCs w:val="22"/>
                <w:rtl w:val="0"/>
              </w:rPr>
              <w:t xml:space="preserve"> using cryptographic methods approved by NIST</w:t>
            </w:r>
          </w:p>
          <w:p w:rsidR="00000000" w:rsidDel="00000000" w:rsidP="00000000" w:rsidRDefault="00000000" w:rsidRPr="00000000">
            <w:pPr>
              <w:numPr>
                <w:ilvl w:val="0"/>
                <w:numId w:val="1"/>
              </w:numPr>
              <w:pBdr/>
              <w:spacing w:after="0" w:before="0" w:lineRule="auto"/>
              <w:ind w:left="162" w:hanging="180"/>
              <w:contextualSpacing w:val="1"/>
              <w:rPr>
                <w:sz w:val="22"/>
                <w:szCs w:val="22"/>
              </w:rPr>
            </w:pPr>
            <w:r w:rsidDel="00000000" w:rsidR="00000000" w:rsidRPr="00000000">
              <w:rPr>
                <w:rFonts w:ascii="Arial" w:cs="Arial" w:eastAsia="Arial" w:hAnsi="Arial"/>
                <w:sz w:val="22"/>
                <w:szCs w:val="22"/>
                <w:rtl w:val="0"/>
              </w:rPr>
              <w:t xml:space="preserve">No third-party storage or transmission  without prior ITSO review and university contract</w:t>
            </w:r>
          </w:p>
          <w:p w:rsidR="00000000" w:rsidDel="00000000" w:rsidP="00000000" w:rsidRDefault="00000000" w:rsidRPr="00000000">
            <w:pPr>
              <w:numPr>
                <w:ilvl w:val="0"/>
                <w:numId w:val="1"/>
              </w:numPr>
              <w:pBdr/>
              <w:spacing w:after="0" w:before="0" w:lineRule="auto"/>
              <w:ind w:left="162" w:hanging="180"/>
              <w:contextualSpacing w:val="1"/>
              <w:rPr>
                <w:sz w:val="22"/>
                <w:szCs w:val="22"/>
              </w:rPr>
            </w:pPr>
            <w:r w:rsidDel="00000000" w:rsidR="00000000" w:rsidRPr="00000000">
              <w:rPr>
                <w:rFonts w:ascii="Arial" w:cs="Arial" w:eastAsia="Arial" w:hAnsi="Arial"/>
                <w:sz w:val="22"/>
                <w:szCs w:val="22"/>
                <w:rtl w:val="0"/>
              </w:rPr>
              <w:t xml:space="preserve">No use as an identifier</w:t>
            </w:r>
          </w:p>
          <w:p w:rsidR="00000000" w:rsidDel="00000000" w:rsidP="00000000" w:rsidRDefault="00000000" w:rsidRPr="00000000">
            <w:pPr>
              <w:pBdr/>
              <w:spacing w:before="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Debit and credit card numbers</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2"/>
                <w:szCs w:val="22"/>
              </w:rPr>
            </w:pPr>
            <w:hyperlink r:id="rId18">
              <w:r w:rsidDel="00000000" w:rsidR="00000000" w:rsidRPr="00000000">
                <w:rPr>
                  <w:rFonts w:ascii="Arial" w:cs="Arial" w:eastAsia="Arial" w:hAnsi="Arial"/>
                  <w:sz w:val="22"/>
                  <w:szCs w:val="22"/>
                  <w:rtl w:val="0"/>
                </w:rPr>
                <w:t xml:space="preserve">Accepting and Handling Payment Card Transactions</w:t>
                <w:br w:type="textWrapping"/>
              </w:r>
            </w:hyperlink>
            <w:hyperlink r:id="rId19">
              <w:r w:rsidDel="00000000" w:rsidR="00000000" w:rsidRPr="00000000">
                <w:rPr>
                  <w:rFonts w:ascii="Arial" w:cs="Arial" w:eastAsia="Arial" w:hAnsi="Arial"/>
                  <w:sz w:val="22"/>
                  <w:szCs w:val="22"/>
                  <w:rtl w:val="0"/>
                </w:rPr>
                <w:t xml:space="preserve">http://www.policies.vt.edu/3610.pdf</w:t>
              </w:r>
            </w:hyperlink>
            <w:hyperlink r:id="rId20">
              <w:r w:rsidDel="00000000" w:rsidR="00000000" w:rsidRPr="00000000">
                <w:rPr>
                  <w:rFonts w:ascii="Arial" w:cs="Arial" w:eastAsia="Arial" w:hAnsi="Arial"/>
                  <w:sz w:val="22"/>
                  <w:szCs w:val="22"/>
                  <w:rtl w:val="0"/>
                </w:rPr>
                <w:br w:type="textWrapping"/>
              </w:r>
            </w:hyperlink>
          </w:p>
          <w:p w:rsidR="00000000" w:rsidDel="00000000" w:rsidP="00000000" w:rsidRDefault="00000000" w:rsidRPr="00000000">
            <w:pPr>
              <w:pBdr/>
              <w:contextualSpacing w:val="0"/>
              <w:rPr>
                <w:rFonts w:ascii="Arial" w:cs="Arial" w:eastAsia="Arial" w:hAnsi="Arial"/>
                <w:color w:val="f28943"/>
                <w:sz w:val="22"/>
                <w:szCs w:val="22"/>
                <w:u w:val="single"/>
              </w:rPr>
            </w:pPr>
            <w:r w:rsidDel="00000000" w:rsidR="00000000" w:rsidRPr="00000000">
              <w:rPr>
                <w:rFonts w:ascii="Arial" w:cs="Arial" w:eastAsia="Arial" w:hAnsi="Arial"/>
                <w:sz w:val="22"/>
                <w:szCs w:val="22"/>
                <w:rtl w:val="0"/>
              </w:rPr>
              <w:t xml:space="preserve">Safeguarding Nonpublic Customer Information, Policy 7025 </w:t>
            </w:r>
            <w:hyperlink r:id="rId21">
              <w:r w:rsidDel="00000000" w:rsidR="00000000" w:rsidRPr="00000000">
                <w:rPr>
                  <w:rFonts w:ascii="Arial" w:cs="Arial" w:eastAsia="Arial" w:hAnsi="Arial"/>
                  <w:color w:val="f28943"/>
                  <w:sz w:val="22"/>
                  <w:szCs w:val="22"/>
                  <w:u w:val="single"/>
                  <w:rtl w:val="0"/>
                </w:rPr>
                <w:t xml:space="preserve">www.policies.vt.edu/7025.pdf</w:t>
              </w:r>
            </w:hyperlink>
          </w:p>
          <w:p w:rsidR="00000000" w:rsidDel="00000000" w:rsidP="00000000" w:rsidRDefault="00000000" w:rsidRPr="00000000">
            <w:pPr>
              <w:pBdr/>
              <w:contextualSpacing w:val="0"/>
              <w:rPr>
                <w:rFonts w:ascii="Arial" w:cs="Arial" w:eastAsia="Arial" w:hAnsi="Arial"/>
                <w:color w:val="f28943"/>
                <w:sz w:val="22"/>
                <w:szCs w:val="22"/>
                <w:u w:val="single"/>
              </w:rPr>
            </w:pPr>
            <w:hyperlink r:id="rId22">
              <w:r w:rsidDel="00000000" w:rsidR="00000000" w:rsidRPr="00000000">
                <w:rPr>
                  <w:rtl w:val="0"/>
                </w:rPr>
              </w:r>
            </w:hyperlink>
          </w:p>
          <w:p w:rsidR="00000000" w:rsidDel="00000000" w:rsidP="00000000" w:rsidRDefault="00000000" w:rsidRPr="00000000">
            <w:pPr>
              <w:pBd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Standard for the Procurement of Information Technology Applications</w:t>
            </w:r>
          </w:p>
          <w:p w:rsidR="00000000" w:rsidDel="00000000" w:rsidP="00000000" w:rsidRDefault="00000000" w:rsidRPr="00000000">
            <w:pPr>
              <w:pBdr/>
              <w:contextualSpacing w:val="0"/>
              <w:rPr>
                <w:rFonts w:ascii="Arial" w:cs="Arial" w:eastAsia="Arial" w:hAnsi="Arial"/>
                <w:sz w:val="22"/>
                <w:szCs w:val="22"/>
              </w:rPr>
            </w:pPr>
            <w:hyperlink r:id="rId23">
              <w:r w:rsidDel="00000000" w:rsidR="00000000" w:rsidRPr="00000000">
                <w:rPr>
                  <w:rFonts w:ascii="Arial" w:cs="Arial" w:eastAsia="Arial" w:hAnsi="Arial"/>
                  <w:color w:val="0563c1"/>
                  <w:sz w:val="22"/>
                  <w:szCs w:val="22"/>
                  <w:u w:val="single"/>
                  <w:rtl w:val="0"/>
                </w:rPr>
                <w:t xml:space="preserve">http://it.vt.edu/content/dam/it_vt_edu/policies/Procurement_STANDARD_signed_1-19-11.pdf</w:t>
              </w:r>
            </w:hyperlink>
            <w:hyperlink r:id="rId24">
              <w:r w:rsidDel="00000000" w:rsidR="00000000" w:rsidRPr="00000000">
                <w:rPr>
                  <w:rtl w:val="0"/>
                </w:rPr>
              </w:r>
            </w:hyperlink>
          </w:p>
        </w:tc>
        <w:tc>
          <w:tcPr/>
          <w:p w:rsidR="00000000" w:rsidDel="00000000" w:rsidP="00000000" w:rsidRDefault="00000000" w:rsidRPr="00000000">
            <w:pPr>
              <w:pBdr/>
              <w:contextualSpacing w:val="0"/>
              <w:rPr>
                <w:rFonts w:ascii="Arial" w:cs="Arial" w:eastAsia="Arial" w:hAnsi="Arial"/>
                <w:sz w:val="22"/>
                <w:szCs w:val="22"/>
              </w:rPr>
            </w:pPr>
            <w:hyperlink r:id="rId25">
              <w:r w:rsidDel="00000000" w:rsidR="00000000" w:rsidRPr="00000000">
                <w:rPr>
                  <w:rFonts w:ascii="Arial" w:cs="Arial" w:eastAsia="Arial" w:hAnsi="Arial"/>
                  <w:sz w:val="22"/>
                  <w:szCs w:val="22"/>
                  <w:rtl w:val="0"/>
                </w:rPr>
                <w:t xml:space="preserve">Payment Card Industry Data Security Standard</w:t>
                <w:br w:type="textWrapping"/>
                <w:t xml:space="preserve">https://www.pcisecuritystandards.org/</w:t>
              </w:r>
            </w:hyperlink>
          </w:p>
          <w:p w:rsidR="00000000" w:rsidDel="00000000" w:rsidP="00000000" w:rsidRDefault="00000000" w:rsidRPr="00000000">
            <w:pPr>
              <w:pBdr/>
              <w:contextualSpacing w:val="0"/>
              <w:rPr>
                <w:rFonts w:ascii="Arial" w:cs="Arial" w:eastAsia="Arial" w:hAnsi="Arial"/>
                <w:sz w:val="22"/>
                <w:szCs w:val="22"/>
              </w:rPr>
            </w:pPr>
            <w:hyperlink r:id="rId26">
              <w:r w:rsidDel="00000000" w:rsidR="00000000" w:rsidRPr="00000000">
                <w:rPr>
                  <w:rtl w:val="0"/>
                </w:rPr>
              </w:r>
            </w:hyperlink>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Standards for Safeguarding Customer Information, 16 CFR Part 314, implementing sections 501 and 505(b)(2) of the Gramm-Leach-Bliley Act </w:t>
            </w:r>
            <w:hyperlink r:id="rId27">
              <w:r w:rsidDel="00000000" w:rsidR="00000000" w:rsidRPr="00000000">
                <w:rPr>
                  <w:rFonts w:ascii="Arial" w:cs="Arial" w:eastAsia="Arial" w:hAnsi="Arial"/>
                  <w:color w:val="f28943"/>
                  <w:sz w:val="22"/>
                  <w:szCs w:val="22"/>
                  <w:u w:val="single"/>
                  <w:rtl w:val="0"/>
                </w:rPr>
                <w:t xml:space="preserve">www.ecfr.gov/cgi-bin/text-idx?rgn=div5&amp;node=16:1.0.1.3.38</w:t>
              </w:r>
            </w:hyperlink>
            <w:hyperlink r:id="rId28">
              <w:r w:rsidDel="00000000" w:rsidR="00000000" w:rsidRPr="00000000">
                <w:rPr>
                  <w:rtl w:val="0"/>
                </w:rPr>
              </w:r>
            </w:hyperlink>
          </w:p>
          <w:p w:rsidR="00000000" w:rsidDel="00000000" w:rsidP="00000000" w:rsidRDefault="00000000" w:rsidRPr="00000000">
            <w:pPr>
              <w:pBdr/>
              <w:contextualSpacing w:val="0"/>
              <w:rPr>
                <w:rFonts w:ascii="Arial" w:cs="Arial" w:eastAsia="Arial" w:hAnsi="Arial"/>
                <w:sz w:val="22"/>
                <w:szCs w:val="22"/>
              </w:rPr>
            </w:pPr>
            <w:hyperlink r:id="rId29">
              <w:r w:rsidDel="00000000" w:rsidR="00000000" w:rsidRPr="00000000">
                <w:rPr>
                  <w:rtl w:val="0"/>
                </w:rPr>
              </w:r>
            </w:hyperlink>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Code of Virginia, Breach of personal information notification. </w:t>
            </w:r>
            <w:hyperlink r:id="rId30">
              <w:r w:rsidDel="00000000" w:rsidR="00000000" w:rsidRPr="00000000">
                <w:rPr>
                  <w:rFonts w:ascii="Arial" w:cs="Arial" w:eastAsia="Arial" w:hAnsi="Arial"/>
                  <w:color w:val="0563c1"/>
                  <w:sz w:val="22"/>
                  <w:szCs w:val="22"/>
                  <w:u w:val="single"/>
                  <w:rtl w:val="0"/>
                </w:rPr>
                <w:t xml:space="preserve">http://law.lis.virginia.gov/vacode/18.2-186.6/</w:t>
              </w:r>
            </w:hyperlink>
            <w:hyperlink r:id="rId31">
              <w:r w:rsidDel="00000000" w:rsidR="00000000" w:rsidRPr="00000000">
                <w:rPr>
                  <w:rtl w:val="0"/>
                </w:rPr>
              </w:r>
            </w:hyperlink>
          </w:p>
          <w:p w:rsidR="00000000" w:rsidDel="00000000" w:rsidP="00000000" w:rsidRDefault="00000000" w:rsidRPr="00000000">
            <w:pPr>
              <w:pBdr/>
              <w:contextualSpacing w:val="0"/>
              <w:rPr>
                <w:rFonts w:ascii="Arial" w:cs="Arial" w:eastAsia="Arial" w:hAnsi="Arial"/>
                <w:sz w:val="22"/>
                <w:szCs w:val="22"/>
              </w:rPr>
            </w:pPr>
            <w:hyperlink r:id="rId32">
              <w:r w:rsidDel="00000000" w:rsidR="00000000" w:rsidRPr="00000000">
                <w:rPr>
                  <w:rtl w:val="0"/>
                </w:rPr>
              </w:r>
            </w:hyperlink>
          </w:p>
        </w:tc>
        <w:tc>
          <w:tcPr/>
          <w:p w:rsidR="00000000" w:rsidDel="00000000" w:rsidP="00000000" w:rsidRDefault="00000000" w:rsidRPr="00000000">
            <w:pPr>
              <w:numPr>
                <w:ilvl w:val="0"/>
                <w:numId w:val="1"/>
              </w:numPr>
              <w:pBdr/>
              <w:spacing w:after="0" w:lineRule="auto"/>
              <w:ind w:left="162" w:hanging="180"/>
              <w:contextualSpacing w:val="1"/>
              <w:rPr>
                <w:sz w:val="22"/>
                <w:szCs w:val="22"/>
              </w:rPr>
            </w:pPr>
            <w:r w:rsidDel="00000000" w:rsidR="00000000" w:rsidRPr="00000000">
              <w:rPr>
                <w:rFonts w:ascii="Arial" w:cs="Arial" w:eastAsia="Arial" w:hAnsi="Arial"/>
                <w:color w:val="000000"/>
                <w:sz w:val="22"/>
                <w:szCs w:val="22"/>
                <w:rtl w:val="0"/>
              </w:rPr>
              <w:t xml:space="preserve">E</w:t>
            </w:r>
            <w:r w:rsidDel="00000000" w:rsidR="00000000" w:rsidRPr="00000000">
              <w:rPr>
                <w:rFonts w:ascii="Arial" w:cs="Arial" w:eastAsia="Arial" w:hAnsi="Arial"/>
                <w:sz w:val="22"/>
                <w:szCs w:val="22"/>
                <w:rtl w:val="0"/>
              </w:rPr>
              <w:t xml:space="preserve">ncrypt the data file/database element in storage and in </w:t>
            </w:r>
            <w:r w:rsidDel="00000000" w:rsidR="00000000" w:rsidRPr="00000000">
              <w:rPr>
                <w:rFonts w:ascii="Arial" w:cs="Arial" w:eastAsia="Arial" w:hAnsi="Arial"/>
                <w:sz w:val="22"/>
                <w:szCs w:val="22"/>
                <w:rtl w:val="0"/>
              </w:rPr>
              <w:t xml:space="preserve">transmission</w:t>
            </w:r>
            <w:r w:rsidDel="00000000" w:rsidR="00000000" w:rsidRPr="00000000">
              <w:rPr>
                <w:rFonts w:ascii="Arial" w:cs="Arial" w:eastAsia="Arial" w:hAnsi="Arial"/>
                <w:sz w:val="22"/>
                <w:szCs w:val="22"/>
                <w:rtl w:val="0"/>
              </w:rPr>
              <w:t xml:space="preserve"> using cryptographic methods approved by NIST</w:t>
            </w:r>
          </w:p>
          <w:p w:rsidR="00000000" w:rsidDel="00000000" w:rsidP="00000000" w:rsidRDefault="00000000" w:rsidRPr="00000000">
            <w:pPr>
              <w:numPr>
                <w:ilvl w:val="0"/>
                <w:numId w:val="1"/>
              </w:numPr>
              <w:pBdr/>
              <w:spacing w:after="0" w:before="0" w:lineRule="auto"/>
              <w:ind w:left="162" w:hanging="180"/>
              <w:contextualSpacing w:val="1"/>
              <w:rPr>
                <w:sz w:val="22"/>
                <w:szCs w:val="22"/>
              </w:rPr>
            </w:pPr>
            <w:r w:rsidDel="00000000" w:rsidR="00000000" w:rsidRPr="00000000">
              <w:rPr>
                <w:rFonts w:ascii="Arial" w:cs="Arial" w:eastAsia="Arial" w:hAnsi="Arial"/>
                <w:sz w:val="22"/>
                <w:szCs w:val="22"/>
                <w:rtl w:val="0"/>
              </w:rPr>
              <w:t xml:space="preserve">Obtain prior written approval of department head after written request of coworker for storing debit/credit card numbers for assisting with travel arrangements.</w:t>
            </w:r>
          </w:p>
          <w:p w:rsidR="00000000" w:rsidDel="00000000" w:rsidP="00000000" w:rsidRDefault="00000000" w:rsidRPr="00000000">
            <w:pPr>
              <w:numPr>
                <w:ilvl w:val="0"/>
                <w:numId w:val="1"/>
              </w:numPr>
              <w:pBdr/>
              <w:spacing w:after="0" w:before="0" w:lineRule="auto"/>
              <w:ind w:left="162" w:hanging="180"/>
              <w:contextualSpacing w:val="1"/>
              <w:rPr>
                <w:sz w:val="22"/>
                <w:szCs w:val="22"/>
              </w:rPr>
            </w:pPr>
            <w:r w:rsidDel="00000000" w:rsidR="00000000" w:rsidRPr="00000000">
              <w:rPr>
                <w:rFonts w:ascii="Arial" w:cs="Arial" w:eastAsia="Arial" w:hAnsi="Arial"/>
                <w:sz w:val="22"/>
                <w:szCs w:val="22"/>
                <w:rtl w:val="0"/>
              </w:rPr>
              <w:t xml:space="preserve">No third-party storage or transmission  without prior ITSO review, Bursar approval,  and university contract</w:t>
            </w:r>
          </w:p>
          <w:p w:rsidR="00000000" w:rsidDel="00000000" w:rsidP="00000000" w:rsidRDefault="00000000" w:rsidRPr="00000000">
            <w:pPr>
              <w:numPr>
                <w:ilvl w:val="0"/>
                <w:numId w:val="1"/>
              </w:numPr>
              <w:pBdr/>
              <w:spacing w:after="0" w:before="0" w:lineRule="auto"/>
              <w:ind w:left="162" w:hanging="180"/>
              <w:contextualSpacing w:val="1"/>
              <w:rPr>
                <w:sz w:val="22"/>
                <w:szCs w:val="22"/>
              </w:rPr>
            </w:pPr>
            <w:r w:rsidDel="00000000" w:rsidR="00000000" w:rsidRPr="00000000">
              <w:rPr>
                <w:rFonts w:ascii="Arial" w:cs="Arial" w:eastAsia="Arial" w:hAnsi="Arial"/>
                <w:sz w:val="22"/>
                <w:szCs w:val="22"/>
                <w:rtl w:val="0"/>
              </w:rPr>
              <w:t xml:space="preserve">Acceptance of credit card payments and methods must be approved by the University Bursar </w:t>
            </w:r>
          </w:p>
          <w:p w:rsidR="00000000" w:rsidDel="00000000" w:rsidP="00000000" w:rsidRDefault="00000000" w:rsidRPr="00000000">
            <w:pPr>
              <w:numPr>
                <w:ilvl w:val="0"/>
                <w:numId w:val="1"/>
              </w:numPr>
              <w:pBdr/>
              <w:spacing w:after="0" w:before="0" w:lineRule="auto"/>
              <w:ind w:left="162" w:hanging="180"/>
              <w:contextualSpacing w:val="1"/>
              <w:rPr>
                <w:sz w:val="22"/>
                <w:szCs w:val="22"/>
              </w:rPr>
            </w:pPr>
            <w:r w:rsidDel="00000000" w:rsidR="00000000" w:rsidRPr="00000000">
              <w:rPr>
                <w:rFonts w:ascii="Arial" w:cs="Arial" w:eastAsia="Arial" w:hAnsi="Arial"/>
                <w:sz w:val="22"/>
                <w:szCs w:val="22"/>
                <w:rtl w:val="0"/>
              </w:rPr>
              <w:t xml:space="preserve">Must not be requested, received, or transmitted through an unsecure medium. </w:t>
            </w:r>
          </w:p>
          <w:p w:rsidR="00000000" w:rsidDel="00000000" w:rsidP="00000000" w:rsidRDefault="00000000" w:rsidRPr="00000000">
            <w:pPr>
              <w:numPr>
                <w:ilvl w:val="0"/>
                <w:numId w:val="1"/>
              </w:numPr>
              <w:pBdr/>
              <w:spacing w:after="100" w:before="0" w:lineRule="auto"/>
              <w:ind w:left="162" w:hanging="180"/>
              <w:contextualSpacing w:val="1"/>
              <w:rPr>
                <w:sz w:val="22"/>
                <w:szCs w:val="22"/>
              </w:rPr>
            </w:pPr>
            <w:r w:rsidDel="00000000" w:rsidR="00000000" w:rsidRPr="00000000">
              <w:rPr>
                <w:rFonts w:ascii="Arial" w:cs="Arial" w:eastAsia="Arial" w:hAnsi="Arial"/>
                <w:sz w:val="22"/>
                <w:szCs w:val="22"/>
                <w:rtl w:val="0"/>
              </w:rPr>
              <w:t xml:space="preserve">Processing payments cards received by email, text, or instant messaging (encrypted or unencrypted) is prohibited</w:t>
            </w:r>
          </w:p>
        </w:tc>
      </w:tr>
      <w:tr>
        <w:tc>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Debit card numbers, </w:t>
            </w:r>
            <w:r w:rsidDel="00000000" w:rsidR="00000000" w:rsidRPr="00000000">
              <w:rPr>
                <w:rFonts w:ascii="Arial" w:cs="Arial" w:eastAsia="Arial" w:hAnsi="Arial"/>
                <w:sz w:val="22"/>
                <w:szCs w:val="22"/>
                <w:rtl w:val="0"/>
              </w:rPr>
              <w:t xml:space="preserve">Bank account numbers</w:t>
            </w:r>
          </w:p>
        </w:tc>
        <w:tc>
          <w:tcPr/>
          <w:p w:rsidR="00000000" w:rsidDel="00000000" w:rsidP="00000000" w:rsidRDefault="00000000" w:rsidRPr="00000000">
            <w:pPr>
              <w:pBdr/>
              <w:contextualSpacing w:val="0"/>
              <w:rPr>
                <w:rFonts w:ascii="Arial" w:cs="Arial" w:eastAsia="Arial" w:hAnsi="Arial"/>
                <w:color w:val="f28943"/>
                <w:sz w:val="22"/>
                <w:szCs w:val="22"/>
                <w:u w:val="single"/>
              </w:rPr>
            </w:pPr>
            <w:r w:rsidDel="00000000" w:rsidR="00000000" w:rsidRPr="00000000">
              <w:rPr>
                <w:rFonts w:ascii="Arial" w:cs="Arial" w:eastAsia="Arial" w:hAnsi="Arial"/>
                <w:sz w:val="22"/>
                <w:szCs w:val="22"/>
                <w:rtl w:val="0"/>
              </w:rPr>
              <w:t xml:space="preserve">Safeguarding Nonpublic Customer Information, Policy 7025 </w:t>
            </w:r>
            <w:hyperlink r:id="rId33">
              <w:r w:rsidDel="00000000" w:rsidR="00000000" w:rsidRPr="00000000">
                <w:rPr>
                  <w:rFonts w:ascii="Arial" w:cs="Arial" w:eastAsia="Arial" w:hAnsi="Arial"/>
                  <w:color w:val="0563c1"/>
                  <w:sz w:val="22"/>
                  <w:szCs w:val="22"/>
                  <w:u w:val="single"/>
                  <w:rtl w:val="0"/>
                </w:rPr>
                <w:t xml:space="preserve">www.policies.vt.edu/7025.pdf</w:t>
              </w:r>
            </w:hyperlink>
            <w:hyperlink r:id="rId34">
              <w:r w:rsidDel="00000000" w:rsidR="00000000" w:rsidRPr="00000000">
                <w:rPr>
                  <w:rtl w:val="0"/>
                </w:rPr>
              </w:r>
            </w:hyperlink>
          </w:p>
          <w:p w:rsidR="00000000" w:rsidDel="00000000" w:rsidP="00000000" w:rsidRDefault="00000000" w:rsidRPr="00000000">
            <w:pPr>
              <w:pBd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Standard for the Procurement of Information Technology Applications</w:t>
            </w:r>
          </w:p>
          <w:p w:rsidR="00000000" w:rsidDel="00000000" w:rsidP="00000000" w:rsidRDefault="00000000" w:rsidRPr="00000000">
            <w:pPr>
              <w:pBdr/>
              <w:contextualSpacing w:val="0"/>
              <w:rPr>
                <w:rFonts w:ascii="Arial" w:cs="Arial" w:eastAsia="Arial" w:hAnsi="Arial"/>
                <w:sz w:val="22"/>
                <w:szCs w:val="22"/>
              </w:rPr>
            </w:pPr>
            <w:hyperlink r:id="rId35">
              <w:r w:rsidDel="00000000" w:rsidR="00000000" w:rsidRPr="00000000">
                <w:rPr>
                  <w:rFonts w:ascii="Arial" w:cs="Arial" w:eastAsia="Arial" w:hAnsi="Arial"/>
                  <w:color w:val="0563c1"/>
                  <w:sz w:val="22"/>
                  <w:szCs w:val="22"/>
                  <w:u w:val="single"/>
                  <w:rtl w:val="0"/>
                </w:rPr>
                <w:t xml:space="preserve">http://it.vt.edu/content/dam/it_vt_edu/policies/Procurement_STANDARD_signed_1-19-11.pdf</w:t>
              </w:r>
            </w:hyperlink>
            <w:hyperlink r:id="rId36">
              <w:r w:rsidDel="00000000" w:rsidR="00000000" w:rsidRPr="00000000">
                <w:rPr>
                  <w:rtl w:val="0"/>
                </w:rPr>
              </w:r>
            </w:hyperlink>
          </w:p>
          <w:p w:rsidR="00000000" w:rsidDel="00000000" w:rsidP="00000000" w:rsidRDefault="00000000" w:rsidRPr="00000000">
            <w:pPr>
              <w:pBdr/>
              <w:contextualSpacing w:val="0"/>
              <w:rPr>
                <w:rFonts w:ascii="Arial" w:cs="Arial" w:eastAsia="Arial" w:hAnsi="Arial"/>
                <w:sz w:val="22"/>
                <w:szCs w:val="22"/>
              </w:rPr>
            </w:pPr>
            <w:hyperlink r:id="rId37">
              <w:r w:rsidDel="00000000" w:rsidR="00000000" w:rsidRPr="00000000">
                <w:rPr>
                  <w:rtl w:val="0"/>
                </w:rPr>
              </w:r>
            </w:hyperlink>
          </w:p>
        </w:tc>
        <w:tc>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NACHA Operating Rules and Guidelines</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Code of Virginia, Breach of personal information notification. </w:t>
            </w:r>
            <w:hyperlink r:id="rId38">
              <w:r w:rsidDel="00000000" w:rsidR="00000000" w:rsidRPr="00000000">
                <w:rPr>
                  <w:rFonts w:ascii="Arial" w:cs="Arial" w:eastAsia="Arial" w:hAnsi="Arial"/>
                  <w:color w:val="0563c1"/>
                  <w:sz w:val="22"/>
                  <w:szCs w:val="22"/>
                  <w:u w:val="single"/>
                  <w:rtl w:val="0"/>
                </w:rPr>
                <w:t xml:space="preserve">http://law.lis.virginia.gov/vacode/18.2-186.6/</w:t>
              </w:r>
            </w:hyperlink>
            <w:hyperlink r:id="rId39">
              <w:r w:rsidDel="00000000" w:rsidR="00000000" w:rsidRPr="00000000">
                <w:rPr>
                  <w:rtl w:val="0"/>
                </w:rPr>
              </w:r>
            </w:hyperlink>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Code of Virginia, identity theft; penalty; restitution; victim assistance. </w:t>
            </w:r>
            <w:hyperlink r:id="rId40">
              <w:r w:rsidDel="00000000" w:rsidR="00000000" w:rsidRPr="00000000">
                <w:rPr>
                  <w:rFonts w:ascii="Arial" w:cs="Arial" w:eastAsia="Arial" w:hAnsi="Arial"/>
                  <w:color w:val="0563c1"/>
                  <w:sz w:val="22"/>
                  <w:szCs w:val="22"/>
                  <w:u w:val="single"/>
                  <w:rtl w:val="0"/>
                </w:rPr>
                <w:t xml:space="preserve">http://law.lis.virginia.gov/vacode/18.2-186.3/</w:t>
              </w:r>
            </w:hyperlink>
            <w:hyperlink r:id="rId41">
              <w:r w:rsidDel="00000000" w:rsidR="00000000" w:rsidRPr="00000000">
                <w:rPr>
                  <w:rtl w:val="0"/>
                </w:rPr>
              </w:r>
            </w:hyperlink>
          </w:p>
          <w:p w:rsidR="00000000" w:rsidDel="00000000" w:rsidP="00000000" w:rsidRDefault="00000000" w:rsidRPr="00000000">
            <w:pPr>
              <w:pBdr/>
              <w:contextualSpacing w:val="0"/>
              <w:rPr>
                <w:rFonts w:ascii="Arial" w:cs="Arial" w:eastAsia="Arial" w:hAnsi="Arial"/>
                <w:sz w:val="22"/>
                <w:szCs w:val="22"/>
              </w:rPr>
            </w:pPr>
            <w:hyperlink r:id="rId42">
              <w:r w:rsidDel="00000000" w:rsidR="00000000" w:rsidRPr="00000000">
                <w:rPr>
                  <w:rtl w:val="0"/>
                </w:rPr>
              </w:r>
            </w:hyperlink>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pPr>
              <w:numPr>
                <w:ilvl w:val="0"/>
                <w:numId w:val="1"/>
              </w:numPr>
              <w:pBdr/>
              <w:spacing w:after="0" w:lineRule="auto"/>
              <w:ind w:left="162" w:hanging="180"/>
              <w:contextualSpacing w:val="1"/>
              <w:rPr>
                <w:sz w:val="22"/>
                <w:szCs w:val="22"/>
              </w:rPr>
            </w:pPr>
            <w:r w:rsidDel="00000000" w:rsidR="00000000" w:rsidRPr="00000000">
              <w:rPr>
                <w:rFonts w:ascii="Arial" w:cs="Arial" w:eastAsia="Arial" w:hAnsi="Arial"/>
                <w:color w:val="000000"/>
                <w:sz w:val="22"/>
                <w:szCs w:val="22"/>
                <w:rtl w:val="0"/>
              </w:rPr>
              <w:t xml:space="preserve">E</w:t>
            </w:r>
            <w:r w:rsidDel="00000000" w:rsidR="00000000" w:rsidRPr="00000000">
              <w:rPr>
                <w:rFonts w:ascii="Arial" w:cs="Arial" w:eastAsia="Arial" w:hAnsi="Arial"/>
                <w:sz w:val="22"/>
                <w:szCs w:val="22"/>
                <w:rtl w:val="0"/>
              </w:rPr>
              <w:t xml:space="preserve">ncrypt the data file/database element in storage and in </w:t>
            </w:r>
            <w:r w:rsidDel="00000000" w:rsidR="00000000" w:rsidRPr="00000000">
              <w:rPr>
                <w:rFonts w:ascii="Arial" w:cs="Arial" w:eastAsia="Arial" w:hAnsi="Arial"/>
                <w:sz w:val="22"/>
                <w:szCs w:val="22"/>
                <w:rtl w:val="0"/>
              </w:rPr>
              <w:t xml:space="preserve">transmission</w:t>
            </w:r>
            <w:r w:rsidDel="00000000" w:rsidR="00000000" w:rsidRPr="00000000">
              <w:rPr>
                <w:rFonts w:ascii="Arial" w:cs="Arial" w:eastAsia="Arial" w:hAnsi="Arial"/>
                <w:sz w:val="22"/>
                <w:szCs w:val="22"/>
                <w:rtl w:val="0"/>
              </w:rPr>
              <w:t xml:space="preserve"> using cryptographic methods approved by NIST</w:t>
            </w:r>
          </w:p>
          <w:p w:rsidR="00000000" w:rsidDel="00000000" w:rsidP="00000000" w:rsidRDefault="00000000" w:rsidRPr="00000000">
            <w:pPr>
              <w:numPr>
                <w:ilvl w:val="0"/>
                <w:numId w:val="1"/>
              </w:numPr>
              <w:pBdr/>
              <w:spacing w:after="0" w:before="0" w:lineRule="auto"/>
              <w:ind w:left="162" w:hanging="180"/>
              <w:contextualSpacing w:val="1"/>
              <w:rPr>
                <w:sz w:val="22"/>
                <w:szCs w:val="22"/>
              </w:rPr>
            </w:pPr>
            <w:r w:rsidDel="00000000" w:rsidR="00000000" w:rsidRPr="00000000">
              <w:rPr>
                <w:rFonts w:ascii="Arial" w:cs="Arial" w:eastAsia="Arial" w:hAnsi="Arial"/>
                <w:sz w:val="22"/>
                <w:szCs w:val="22"/>
                <w:rtl w:val="0"/>
              </w:rPr>
              <w:t xml:space="preserve">Obtain prior written approval of department head after written request of coworker for storing debit/credit card numbers for assisting with travel arrangements</w:t>
            </w:r>
          </w:p>
          <w:p w:rsidR="00000000" w:rsidDel="00000000" w:rsidP="00000000" w:rsidRDefault="00000000" w:rsidRPr="00000000">
            <w:pPr>
              <w:numPr>
                <w:ilvl w:val="0"/>
                <w:numId w:val="1"/>
              </w:numPr>
              <w:pBdr/>
              <w:spacing w:after="0" w:before="0" w:lineRule="auto"/>
              <w:ind w:left="162" w:hanging="180"/>
              <w:contextualSpacing w:val="1"/>
              <w:rPr>
                <w:sz w:val="22"/>
                <w:szCs w:val="22"/>
              </w:rPr>
            </w:pPr>
            <w:r w:rsidDel="00000000" w:rsidR="00000000" w:rsidRPr="00000000">
              <w:rPr>
                <w:rFonts w:ascii="Arial" w:cs="Arial" w:eastAsia="Arial" w:hAnsi="Arial"/>
                <w:sz w:val="22"/>
                <w:szCs w:val="22"/>
                <w:rtl w:val="0"/>
              </w:rPr>
              <w:t xml:space="preserve">No third-party storage or transmission  without prior ITSO review and university contract</w:t>
            </w:r>
          </w:p>
        </w:tc>
      </w:tr>
      <w:tr>
        <w:tc>
          <w:tcPr/>
          <w:p w:rsidR="00000000" w:rsidDel="00000000" w:rsidP="00000000" w:rsidRDefault="00000000" w:rsidRPr="00000000">
            <w:pPr>
              <w:pBdr/>
              <w:spacing w:before="0" w:lineRule="auto"/>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Driver’s license numbers</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passport numbers</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Standard for the Procurement of Information Technology Applications</w:t>
            </w:r>
          </w:p>
          <w:p w:rsidR="00000000" w:rsidDel="00000000" w:rsidP="00000000" w:rsidRDefault="00000000" w:rsidRPr="00000000">
            <w:pPr>
              <w:pBdr/>
              <w:contextualSpacing w:val="0"/>
              <w:rPr>
                <w:rFonts w:ascii="Arial" w:cs="Arial" w:eastAsia="Arial" w:hAnsi="Arial"/>
                <w:color w:val="000000"/>
                <w:sz w:val="22"/>
                <w:szCs w:val="22"/>
              </w:rPr>
            </w:pPr>
            <w:hyperlink r:id="rId43">
              <w:r w:rsidDel="00000000" w:rsidR="00000000" w:rsidRPr="00000000">
                <w:rPr>
                  <w:rFonts w:ascii="Arial" w:cs="Arial" w:eastAsia="Arial" w:hAnsi="Arial"/>
                  <w:color w:val="000000"/>
                  <w:sz w:val="22"/>
                  <w:szCs w:val="22"/>
                  <w:rtl w:val="0"/>
                </w:rPr>
                <w:t xml:space="preserve">http://it.vt.edu/content/dam/it_vt_edu/policies/Procurement_STANDARD_signed_1-19-11.pdf</w:t>
              </w:r>
            </w:hyperlink>
          </w:p>
          <w:p w:rsidR="00000000" w:rsidDel="00000000" w:rsidP="00000000" w:rsidRDefault="00000000" w:rsidRPr="00000000">
            <w:pPr>
              <w:pBdr/>
              <w:contextualSpacing w:val="0"/>
              <w:rPr/>
            </w:pPr>
            <w:hyperlink r:id="rId44">
              <w:r w:rsidDel="00000000" w:rsidR="00000000" w:rsidRPr="00000000">
                <w:rPr>
                  <w:rtl w:val="0"/>
                </w:rPr>
              </w:r>
            </w:hyperlink>
          </w:p>
        </w:tc>
        <w:tc>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Code of Virginia, Breach of personal information notification. </w:t>
            </w:r>
            <w:hyperlink r:id="rId45">
              <w:r w:rsidDel="00000000" w:rsidR="00000000" w:rsidRPr="00000000">
                <w:rPr>
                  <w:rFonts w:ascii="Arial" w:cs="Arial" w:eastAsia="Arial" w:hAnsi="Arial"/>
                  <w:color w:val="0563c1"/>
                  <w:sz w:val="22"/>
                  <w:szCs w:val="22"/>
                  <w:u w:val="single"/>
                  <w:rtl w:val="0"/>
                </w:rPr>
                <w:t xml:space="preserve">http://law.lis.virginia.gov/vacode/18.2-186.6/</w:t>
              </w:r>
            </w:hyperlink>
            <w:hyperlink r:id="rId46">
              <w:r w:rsidDel="00000000" w:rsidR="00000000" w:rsidRPr="00000000">
                <w:rPr>
                  <w:rtl w:val="0"/>
                </w:rPr>
              </w:r>
            </w:hyperlink>
          </w:p>
          <w:p w:rsidR="00000000" w:rsidDel="00000000" w:rsidP="00000000" w:rsidRDefault="00000000" w:rsidRPr="00000000">
            <w:pPr>
              <w:pBdr/>
              <w:spacing w:before="0" w:lineRule="auto"/>
              <w:contextualSpacing w:val="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Code of Virginia, identity theft; penalty; restitution; victim assistance. </w:t>
            </w:r>
            <w:hyperlink r:id="rId47">
              <w:r w:rsidDel="00000000" w:rsidR="00000000" w:rsidRPr="00000000">
                <w:rPr>
                  <w:rFonts w:ascii="Arial" w:cs="Arial" w:eastAsia="Arial" w:hAnsi="Arial"/>
                  <w:color w:val="0563c1"/>
                  <w:sz w:val="22"/>
                  <w:szCs w:val="22"/>
                  <w:u w:val="single"/>
                  <w:rtl w:val="0"/>
                </w:rPr>
                <w:t xml:space="preserve">http://law.lis.virginia.gov/vacode/18.2-186.3/</w:t>
              </w:r>
            </w:hyperlink>
            <w:hyperlink r:id="rId48">
              <w:r w:rsidDel="00000000" w:rsidR="00000000" w:rsidRPr="00000000">
                <w:rPr>
                  <w:rtl w:val="0"/>
                </w:rPr>
              </w:r>
            </w:hyperlink>
          </w:p>
        </w:tc>
        <w:tc>
          <w:tcPr/>
          <w:p w:rsidR="00000000" w:rsidDel="00000000" w:rsidP="00000000" w:rsidRDefault="00000000" w:rsidRPr="00000000">
            <w:pPr>
              <w:numPr>
                <w:ilvl w:val="0"/>
                <w:numId w:val="1"/>
              </w:numPr>
              <w:pBdr/>
              <w:spacing w:after="0" w:lineRule="auto"/>
              <w:ind w:left="162" w:hanging="180"/>
              <w:contextualSpacing w:val="1"/>
              <w:rPr>
                <w:sz w:val="22"/>
                <w:szCs w:val="22"/>
              </w:rPr>
            </w:pPr>
            <w:r w:rsidDel="00000000" w:rsidR="00000000" w:rsidRPr="00000000">
              <w:rPr>
                <w:rFonts w:ascii="Arial" w:cs="Arial" w:eastAsia="Arial" w:hAnsi="Arial"/>
                <w:color w:val="000000"/>
                <w:sz w:val="22"/>
                <w:szCs w:val="22"/>
                <w:rtl w:val="0"/>
              </w:rPr>
              <w:t xml:space="preserve">E</w:t>
            </w:r>
            <w:r w:rsidDel="00000000" w:rsidR="00000000" w:rsidRPr="00000000">
              <w:rPr>
                <w:rFonts w:ascii="Arial" w:cs="Arial" w:eastAsia="Arial" w:hAnsi="Arial"/>
                <w:sz w:val="22"/>
                <w:szCs w:val="22"/>
                <w:rtl w:val="0"/>
              </w:rPr>
              <w:t xml:space="preserve">ncrypt the data file/database element in storage and in </w:t>
            </w:r>
            <w:r w:rsidDel="00000000" w:rsidR="00000000" w:rsidRPr="00000000">
              <w:rPr>
                <w:rFonts w:ascii="Arial" w:cs="Arial" w:eastAsia="Arial" w:hAnsi="Arial"/>
                <w:sz w:val="22"/>
                <w:szCs w:val="22"/>
                <w:rtl w:val="0"/>
              </w:rPr>
              <w:t xml:space="preserve">transmission</w:t>
            </w:r>
            <w:r w:rsidDel="00000000" w:rsidR="00000000" w:rsidRPr="00000000">
              <w:rPr>
                <w:rFonts w:ascii="Arial" w:cs="Arial" w:eastAsia="Arial" w:hAnsi="Arial"/>
                <w:sz w:val="22"/>
                <w:szCs w:val="22"/>
                <w:rtl w:val="0"/>
              </w:rPr>
              <w:t xml:space="preserve"> using cryptographic methods approved by NIST</w:t>
            </w:r>
          </w:p>
          <w:p w:rsidR="00000000" w:rsidDel="00000000" w:rsidP="00000000" w:rsidRDefault="00000000" w:rsidRPr="00000000">
            <w:pPr>
              <w:numPr>
                <w:ilvl w:val="0"/>
                <w:numId w:val="1"/>
              </w:numPr>
              <w:pBdr/>
              <w:spacing w:after="0" w:before="0" w:lineRule="auto"/>
              <w:ind w:left="162" w:hanging="180"/>
              <w:contextualSpacing w:val="1"/>
              <w:rPr>
                <w:sz w:val="22"/>
                <w:szCs w:val="22"/>
              </w:rPr>
            </w:pPr>
            <w:r w:rsidDel="00000000" w:rsidR="00000000" w:rsidRPr="00000000">
              <w:rPr>
                <w:rFonts w:ascii="Arial" w:cs="Arial" w:eastAsia="Arial" w:hAnsi="Arial"/>
                <w:sz w:val="22"/>
                <w:szCs w:val="22"/>
                <w:rtl w:val="0"/>
              </w:rPr>
              <w:t xml:space="preserve">Obtain prior written approval of department head after written request of coworker for storing passport numbers for assisting with travel arrangements</w:t>
            </w:r>
          </w:p>
          <w:p w:rsidR="00000000" w:rsidDel="00000000" w:rsidP="00000000" w:rsidRDefault="00000000" w:rsidRPr="00000000">
            <w:pPr>
              <w:numPr>
                <w:ilvl w:val="0"/>
                <w:numId w:val="1"/>
              </w:numPr>
              <w:pBdr/>
              <w:spacing w:after="0" w:before="0" w:lineRule="auto"/>
              <w:ind w:left="162" w:hanging="180"/>
              <w:contextualSpacing w:val="1"/>
              <w:rPr>
                <w:sz w:val="22"/>
                <w:szCs w:val="22"/>
              </w:rPr>
            </w:pPr>
            <w:r w:rsidDel="00000000" w:rsidR="00000000" w:rsidRPr="00000000">
              <w:rPr>
                <w:rFonts w:ascii="Arial" w:cs="Arial" w:eastAsia="Arial" w:hAnsi="Arial"/>
                <w:sz w:val="22"/>
                <w:szCs w:val="22"/>
                <w:rtl w:val="0"/>
              </w:rPr>
              <w:t xml:space="preserve">No third-party storage or transmission  without prior ITSO review and university contract</w:t>
            </w:r>
          </w:p>
          <w:p w:rsidR="00000000" w:rsidDel="00000000" w:rsidP="00000000" w:rsidRDefault="00000000" w:rsidRPr="00000000">
            <w:pPr>
              <w:pBdr/>
              <w:spacing w:before="0" w:lineRule="auto"/>
              <w:ind w:left="181" w:firstLine="0"/>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pPr>
              <w:pBdr/>
              <w:spacing w:before="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 data (nondirectory or items marked confidential)</w:t>
            </w:r>
          </w:p>
        </w:tc>
        <w:tc>
          <w:tcPr/>
          <w:p w:rsidR="00000000" w:rsidDel="00000000" w:rsidP="00000000" w:rsidRDefault="00000000" w:rsidRPr="00000000">
            <w:pPr>
              <w:pStyle w:val="Heading1"/>
              <w:pBdr/>
              <w:spacing w:before="0" w:lineRule="auto"/>
              <w:ind w:left="-90" w:firstLine="0"/>
              <w:contextualSpacing w:val="0"/>
              <w:rPr>
                <w:rFonts w:ascii="Arial" w:cs="Arial" w:eastAsia="Arial" w:hAnsi="Arial"/>
                <w:sz w:val="22"/>
                <w:szCs w:val="22"/>
              </w:rPr>
            </w:pPr>
            <w:r w:rsidDel="00000000" w:rsidR="00000000" w:rsidRPr="00000000">
              <w:rPr>
                <w:rFonts w:ascii="Arial" w:cs="Arial" w:eastAsia="Arial" w:hAnsi="Arial"/>
                <w:b w:val="0"/>
                <w:color w:val="000000"/>
                <w:sz w:val="22"/>
                <w:szCs w:val="22"/>
                <w:rtl w:val="0"/>
              </w:rPr>
              <w:t xml:space="preserve">  Student Privacy/FERPA</w:t>
            </w:r>
            <w:r w:rsidDel="00000000" w:rsidR="00000000" w:rsidRPr="00000000">
              <w:rPr>
                <w:rtl w:val="0"/>
              </w:rPr>
            </w:r>
          </w:p>
          <w:p w:rsidR="00000000" w:rsidDel="00000000" w:rsidP="00000000" w:rsidRDefault="00000000" w:rsidRPr="00000000">
            <w:pPr>
              <w:pBdr/>
              <w:spacing w:before="0" w:lineRule="auto"/>
              <w:contextualSpacing w:val="0"/>
              <w:rPr>
                <w:rFonts w:ascii="Arial" w:cs="Arial" w:eastAsia="Arial" w:hAnsi="Arial"/>
                <w:sz w:val="22"/>
                <w:szCs w:val="22"/>
              </w:rPr>
            </w:pPr>
            <w:hyperlink r:id="rId49">
              <w:r w:rsidDel="00000000" w:rsidR="00000000" w:rsidRPr="00000000">
                <w:rPr>
                  <w:rFonts w:ascii="Arial" w:cs="Arial" w:eastAsia="Arial" w:hAnsi="Arial"/>
                  <w:color w:val="0563c1"/>
                  <w:sz w:val="22"/>
                  <w:szCs w:val="22"/>
                  <w:u w:val="single"/>
                  <w:rtl w:val="0"/>
                </w:rPr>
                <w:t xml:space="preserve">http://registrar.vt.edu/contact/FERPA.html</w:t>
              </w:r>
            </w:hyperlink>
            <w:hyperlink r:id="rId50">
              <w:r w:rsidDel="00000000" w:rsidR="00000000" w:rsidRPr="00000000">
                <w:rPr>
                  <w:rtl w:val="0"/>
                </w:rPr>
              </w:r>
            </w:hyperlink>
          </w:p>
          <w:p w:rsidR="00000000" w:rsidDel="00000000" w:rsidP="00000000" w:rsidRDefault="00000000" w:rsidRPr="00000000">
            <w:pPr>
              <w:pBdr/>
              <w:spacing w:before="0" w:lineRule="auto"/>
              <w:contextualSpacing w:val="0"/>
              <w:rPr>
                <w:rFonts w:ascii="Arial" w:cs="Arial" w:eastAsia="Arial" w:hAnsi="Arial"/>
                <w:sz w:val="22"/>
                <w:szCs w:val="22"/>
              </w:rPr>
            </w:pPr>
            <w:hyperlink r:id="rId51">
              <w:r w:rsidDel="00000000" w:rsidR="00000000" w:rsidRPr="00000000">
                <w:rPr>
                  <w:rtl w:val="0"/>
                </w:rPr>
              </w:r>
            </w:hyperlink>
          </w:p>
          <w:p w:rsidR="00000000" w:rsidDel="00000000" w:rsidP="00000000" w:rsidRDefault="00000000" w:rsidRPr="00000000">
            <w:pPr>
              <w:pBdr/>
              <w:spacing w:before="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Maintaining Student's Privacy</w:t>
            </w:r>
          </w:p>
          <w:p w:rsidR="00000000" w:rsidDel="00000000" w:rsidP="00000000" w:rsidRDefault="00000000" w:rsidRPr="00000000">
            <w:pPr>
              <w:pBdr/>
              <w:spacing w:before="0" w:lineRule="auto"/>
              <w:contextualSpacing w:val="0"/>
              <w:rPr>
                <w:rFonts w:ascii="Arial" w:cs="Arial" w:eastAsia="Arial" w:hAnsi="Arial"/>
                <w:sz w:val="22"/>
                <w:szCs w:val="22"/>
              </w:rPr>
            </w:pPr>
            <w:hyperlink r:id="rId52">
              <w:r w:rsidDel="00000000" w:rsidR="00000000" w:rsidRPr="00000000">
                <w:rPr>
                  <w:rFonts w:ascii="Arial" w:cs="Arial" w:eastAsia="Arial" w:hAnsi="Arial"/>
                  <w:color w:val="0563c1"/>
                  <w:sz w:val="22"/>
                  <w:szCs w:val="22"/>
                  <w:u w:val="single"/>
                  <w:rtl w:val="0"/>
                </w:rPr>
                <w:t xml:space="preserve">http://registrar.vt.edu/faculty-toolbox.html</w:t>
              </w:r>
            </w:hyperlink>
            <w:hyperlink r:id="rId53">
              <w:r w:rsidDel="00000000" w:rsidR="00000000" w:rsidRPr="00000000">
                <w:rPr>
                  <w:rtl w:val="0"/>
                </w:rPr>
              </w:r>
            </w:hyperlink>
          </w:p>
          <w:p w:rsidR="00000000" w:rsidDel="00000000" w:rsidP="00000000" w:rsidRDefault="00000000" w:rsidRPr="00000000">
            <w:pPr>
              <w:pBdr/>
              <w:spacing w:before="0" w:lineRule="auto"/>
              <w:contextualSpacing w:val="0"/>
              <w:rPr>
                <w:rFonts w:ascii="Arial" w:cs="Arial" w:eastAsia="Arial" w:hAnsi="Arial"/>
                <w:sz w:val="22"/>
                <w:szCs w:val="22"/>
              </w:rPr>
            </w:pPr>
            <w:hyperlink r:id="rId54">
              <w:r w:rsidDel="00000000" w:rsidR="00000000" w:rsidRPr="00000000">
                <w:rPr>
                  <w:rtl w:val="0"/>
                </w:rPr>
              </w:r>
            </w:hyperlink>
          </w:p>
        </w:tc>
        <w:tc>
          <w:tcPr/>
          <w:p w:rsidR="00000000" w:rsidDel="00000000" w:rsidP="00000000" w:rsidRDefault="00000000" w:rsidRPr="00000000">
            <w:pPr>
              <w:pBdr/>
              <w:spacing w:before="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Family Educational Rights and Privacy Act (FERPA) </w:t>
            </w:r>
          </w:p>
          <w:p w:rsidR="00000000" w:rsidDel="00000000" w:rsidP="00000000" w:rsidRDefault="00000000" w:rsidRPr="00000000">
            <w:pPr>
              <w:pBdr/>
              <w:spacing w:before="0" w:lineRule="auto"/>
              <w:contextualSpacing w:val="0"/>
              <w:rPr>
                <w:rFonts w:ascii="Arial" w:cs="Arial" w:eastAsia="Arial" w:hAnsi="Arial"/>
                <w:sz w:val="22"/>
                <w:szCs w:val="22"/>
              </w:rPr>
            </w:pPr>
            <w:hyperlink r:id="rId55">
              <w:r w:rsidDel="00000000" w:rsidR="00000000" w:rsidRPr="00000000">
                <w:rPr>
                  <w:rFonts w:ascii="Arial" w:cs="Arial" w:eastAsia="Arial" w:hAnsi="Arial"/>
                  <w:color w:val="0563c1"/>
                  <w:sz w:val="22"/>
                  <w:szCs w:val="22"/>
                  <w:u w:val="single"/>
                  <w:rtl w:val="0"/>
                </w:rPr>
                <w:t xml:space="preserve">http://www.ecfr.gov/cgi-bin/text-idx?tpl=/ecfrbrowse/Title34/34cfr99_main_02.tpl</w:t>
              </w:r>
            </w:hyperlink>
            <w:hyperlink r:id="rId56">
              <w:r w:rsidDel="00000000" w:rsidR="00000000" w:rsidRPr="00000000">
                <w:rPr>
                  <w:rtl w:val="0"/>
                </w:rPr>
              </w:r>
            </w:hyperlink>
          </w:p>
          <w:p w:rsidR="00000000" w:rsidDel="00000000" w:rsidP="00000000" w:rsidRDefault="00000000" w:rsidRPr="00000000">
            <w:pPr>
              <w:pBdr/>
              <w:spacing w:before="0" w:lineRule="auto"/>
              <w:contextualSpacing w:val="0"/>
              <w:rPr>
                <w:rFonts w:ascii="Arial" w:cs="Arial" w:eastAsia="Arial" w:hAnsi="Arial"/>
                <w:sz w:val="22"/>
                <w:szCs w:val="22"/>
              </w:rPr>
            </w:pPr>
            <w:hyperlink r:id="rId57">
              <w:r w:rsidDel="00000000" w:rsidR="00000000" w:rsidRPr="00000000">
                <w:rPr>
                  <w:rtl w:val="0"/>
                </w:rPr>
              </w:r>
            </w:hyperlink>
          </w:p>
        </w:tc>
        <w:tc>
          <w:tcPr/>
          <w:p w:rsidR="00000000" w:rsidDel="00000000" w:rsidP="00000000" w:rsidRDefault="00000000" w:rsidRPr="00000000">
            <w:pPr>
              <w:numPr>
                <w:ilvl w:val="0"/>
                <w:numId w:val="1"/>
              </w:numPr>
              <w:pBdr/>
              <w:spacing w:after="0" w:before="0" w:lineRule="auto"/>
              <w:ind w:left="181" w:hanging="180"/>
              <w:contextualSpacing w:val="1"/>
              <w:rPr>
                <w:sz w:val="22"/>
                <w:szCs w:val="22"/>
              </w:rPr>
            </w:pPr>
            <w:r w:rsidDel="00000000" w:rsidR="00000000" w:rsidRPr="00000000">
              <w:rPr>
                <w:rFonts w:ascii="Arial" w:cs="Arial" w:eastAsia="Arial" w:hAnsi="Arial"/>
                <w:sz w:val="22"/>
                <w:szCs w:val="22"/>
                <w:rtl w:val="0"/>
              </w:rPr>
              <w:t xml:space="preserve">D</w:t>
            </w:r>
            <w:hyperlink r:id="rId58">
              <w:r w:rsidDel="00000000" w:rsidR="00000000" w:rsidRPr="00000000">
                <w:rPr>
                  <w:rFonts w:ascii="Arial" w:cs="Arial" w:eastAsia="Arial" w:hAnsi="Arial"/>
                  <w:sz w:val="22"/>
                  <w:szCs w:val="22"/>
                  <w:rtl w:val="0"/>
                </w:rPr>
                <w:t xml:space="preserve">e</w:t>
              </w:r>
            </w:hyperlink>
            <w:r w:rsidDel="00000000" w:rsidR="00000000" w:rsidRPr="00000000">
              <w:rPr>
                <w:rFonts w:ascii="Arial" w:cs="Arial" w:eastAsia="Arial" w:hAnsi="Arial"/>
                <w:sz w:val="22"/>
                <w:szCs w:val="22"/>
                <w:rtl w:val="0"/>
              </w:rPr>
              <w:t xml:space="preserve">p</w:t>
            </w:r>
            <w:hyperlink r:id="rId59">
              <w:r w:rsidDel="00000000" w:rsidR="00000000" w:rsidRPr="00000000">
                <w:rPr>
                  <w:rFonts w:ascii="Arial" w:cs="Arial" w:eastAsia="Arial" w:hAnsi="Arial"/>
                  <w:sz w:val="22"/>
                  <w:szCs w:val="22"/>
                  <w:rtl w:val="0"/>
                </w:rPr>
                <w:t xml:space="preserve">a</w:t>
              </w:r>
            </w:hyperlink>
            <w:r w:rsidDel="00000000" w:rsidR="00000000" w:rsidRPr="00000000">
              <w:rPr>
                <w:rFonts w:ascii="Arial" w:cs="Arial" w:eastAsia="Arial" w:hAnsi="Arial"/>
                <w:sz w:val="22"/>
                <w:szCs w:val="22"/>
                <w:rtl w:val="0"/>
              </w:rPr>
              <w:t xml:space="preserve">r</w:t>
            </w:r>
            <w:hyperlink r:id="rId60">
              <w:r w:rsidDel="00000000" w:rsidR="00000000" w:rsidRPr="00000000">
                <w:rPr>
                  <w:rFonts w:ascii="Arial" w:cs="Arial" w:eastAsia="Arial" w:hAnsi="Arial"/>
                  <w:sz w:val="22"/>
                  <w:szCs w:val="22"/>
                  <w:rtl w:val="0"/>
                </w:rPr>
                <w:t xml:space="preserve">t</w:t>
              </w:r>
            </w:hyperlink>
            <w:r w:rsidDel="00000000" w:rsidR="00000000" w:rsidRPr="00000000">
              <w:rPr>
                <w:rFonts w:ascii="Arial" w:cs="Arial" w:eastAsia="Arial" w:hAnsi="Arial"/>
                <w:sz w:val="22"/>
                <w:szCs w:val="22"/>
                <w:rtl w:val="0"/>
              </w:rPr>
              <w:t xml:space="preserve">m</w:t>
            </w:r>
            <w:hyperlink r:id="rId61">
              <w:r w:rsidDel="00000000" w:rsidR="00000000" w:rsidRPr="00000000">
                <w:rPr>
                  <w:rFonts w:ascii="Arial" w:cs="Arial" w:eastAsia="Arial" w:hAnsi="Arial"/>
                  <w:sz w:val="22"/>
                  <w:szCs w:val="22"/>
                  <w:rtl w:val="0"/>
                </w:rPr>
                <w:t xml:space="preserve">e</w:t>
              </w:r>
            </w:hyperlink>
            <w:r w:rsidDel="00000000" w:rsidR="00000000" w:rsidRPr="00000000">
              <w:rPr>
                <w:rFonts w:ascii="Arial" w:cs="Arial" w:eastAsia="Arial" w:hAnsi="Arial"/>
                <w:sz w:val="22"/>
                <w:szCs w:val="22"/>
                <w:rtl w:val="0"/>
              </w:rPr>
              <w:t xml:space="preserve">n</w:t>
            </w:r>
            <w:hyperlink r:id="rId62">
              <w:r w:rsidDel="00000000" w:rsidR="00000000" w:rsidRPr="00000000">
                <w:rPr>
                  <w:rFonts w:ascii="Arial" w:cs="Arial" w:eastAsia="Arial" w:hAnsi="Arial"/>
                  <w:sz w:val="22"/>
                  <w:szCs w:val="22"/>
                  <w:rtl w:val="0"/>
                </w:rPr>
                <w:t xml:space="preserve">t</w:t>
              </w:r>
            </w:hyperlink>
            <w:r w:rsidDel="00000000" w:rsidR="00000000" w:rsidRPr="00000000">
              <w:rPr>
                <w:rFonts w:ascii="Arial" w:cs="Arial" w:eastAsia="Arial" w:hAnsi="Arial"/>
                <w:sz w:val="22"/>
                <w:szCs w:val="22"/>
                <w:rtl w:val="0"/>
              </w:rPr>
              <w:t xml:space="preserve">s</w:t>
            </w:r>
            <w:hyperlink r:id="rId63">
              <w:r w:rsidDel="00000000" w:rsidR="00000000" w:rsidRPr="00000000">
                <w:rPr>
                  <w:rFonts w:ascii="Arial" w:cs="Arial" w:eastAsia="Arial" w:hAnsi="Arial"/>
                  <w:sz w:val="22"/>
                  <w:szCs w:val="22"/>
                  <w:rtl w:val="0"/>
                </w:rPr>
                <w:t xml:space="preserve"> </w:t>
              </w:r>
            </w:hyperlink>
            <w:r w:rsidDel="00000000" w:rsidR="00000000" w:rsidRPr="00000000">
              <w:rPr>
                <w:rFonts w:ascii="Arial" w:cs="Arial" w:eastAsia="Arial" w:hAnsi="Arial"/>
                <w:sz w:val="22"/>
                <w:szCs w:val="22"/>
                <w:rtl w:val="0"/>
              </w:rPr>
              <w:t xml:space="preserve">m</w:t>
            </w:r>
            <w:hyperlink r:id="rId64">
              <w:r w:rsidDel="00000000" w:rsidR="00000000" w:rsidRPr="00000000">
                <w:rPr>
                  <w:rFonts w:ascii="Arial" w:cs="Arial" w:eastAsia="Arial" w:hAnsi="Arial"/>
                  <w:sz w:val="22"/>
                  <w:szCs w:val="22"/>
                  <w:rtl w:val="0"/>
                </w:rPr>
                <w:t xml:space="preserve">u</w:t>
              </w:r>
            </w:hyperlink>
            <w:r w:rsidDel="00000000" w:rsidR="00000000" w:rsidRPr="00000000">
              <w:rPr>
                <w:rFonts w:ascii="Arial" w:cs="Arial" w:eastAsia="Arial" w:hAnsi="Arial"/>
                <w:sz w:val="22"/>
                <w:szCs w:val="22"/>
                <w:rtl w:val="0"/>
              </w:rPr>
              <w:t xml:space="preserve">s</w:t>
            </w:r>
            <w:hyperlink r:id="rId65">
              <w:r w:rsidDel="00000000" w:rsidR="00000000" w:rsidRPr="00000000">
                <w:rPr>
                  <w:rFonts w:ascii="Arial" w:cs="Arial" w:eastAsia="Arial" w:hAnsi="Arial"/>
                  <w:sz w:val="22"/>
                  <w:szCs w:val="22"/>
                  <w:rtl w:val="0"/>
                </w:rPr>
                <w:t xml:space="preserve">t</w:t>
              </w:r>
            </w:hyperlink>
            <w:r w:rsidDel="00000000" w:rsidR="00000000" w:rsidRPr="00000000">
              <w:rPr>
                <w:rFonts w:ascii="Arial" w:cs="Arial" w:eastAsia="Arial" w:hAnsi="Arial"/>
                <w:sz w:val="22"/>
                <w:szCs w:val="22"/>
                <w:rtl w:val="0"/>
              </w:rPr>
              <w:t xml:space="preserve"> </w:t>
            </w:r>
            <w:hyperlink r:id="rId66">
              <w:r w:rsidDel="00000000" w:rsidR="00000000" w:rsidRPr="00000000">
                <w:rPr>
                  <w:rFonts w:ascii="Arial" w:cs="Arial" w:eastAsia="Arial" w:hAnsi="Arial"/>
                  <w:sz w:val="22"/>
                  <w:szCs w:val="22"/>
                  <w:rtl w:val="0"/>
                </w:rPr>
                <w:t xml:space="preserve">n</w:t>
              </w:r>
            </w:hyperlink>
            <w:r w:rsidDel="00000000" w:rsidR="00000000" w:rsidRPr="00000000">
              <w:rPr>
                <w:rFonts w:ascii="Arial" w:cs="Arial" w:eastAsia="Arial" w:hAnsi="Arial"/>
                <w:sz w:val="22"/>
                <w:szCs w:val="22"/>
                <w:rtl w:val="0"/>
              </w:rPr>
              <w:t xml:space="preserve">o</w:t>
            </w:r>
            <w:hyperlink r:id="rId67">
              <w:r w:rsidDel="00000000" w:rsidR="00000000" w:rsidRPr="00000000">
                <w:rPr>
                  <w:rFonts w:ascii="Arial" w:cs="Arial" w:eastAsia="Arial" w:hAnsi="Arial"/>
                  <w:sz w:val="22"/>
                  <w:szCs w:val="22"/>
                  <w:rtl w:val="0"/>
                </w:rPr>
                <w:t xml:space="preserve">t</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include personally identifiable FERPA data in totality in an email: </w:t>
            </w:r>
            <w:r w:rsidDel="00000000" w:rsidR="00000000" w:rsidRPr="00000000">
              <w:rPr>
                <w:rFonts w:ascii="Arial" w:cs="Arial" w:eastAsia="Arial" w:hAnsi="Arial"/>
                <w:sz w:val="22"/>
                <w:szCs w:val="22"/>
                <w:rtl w:val="0"/>
              </w:rPr>
              <w:t xml:space="preserve">e.g. </w:t>
            </w:r>
            <w:r w:rsidDel="00000000" w:rsidR="00000000" w:rsidRPr="00000000">
              <w:rPr>
                <w:rFonts w:ascii="Arial" w:cs="Arial" w:eastAsia="Arial" w:hAnsi="Arial"/>
                <w:sz w:val="22"/>
                <w:szCs w:val="22"/>
                <w:rtl w:val="0"/>
              </w:rPr>
              <w:t xml:space="preserve">no full name </w:t>
            </w:r>
            <w:r w:rsidDel="00000000" w:rsidR="00000000" w:rsidRPr="00000000">
              <w:rPr>
                <w:rFonts w:ascii="Arial" w:cs="Arial" w:eastAsia="Arial" w:hAnsi="Arial"/>
                <w:sz w:val="22"/>
                <w:szCs w:val="22"/>
                <w:rtl w:val="0"/>
              </w:rPr>
              <w:t xml:space="preserve">in combination with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full </w:t>
            </w:r>
            <w:r w:rsidDel="00000000" w:rsidR="00000000" w:rsidRPr="00000000">
              <w:rPr>
                <w:rFonts w:ascii="Arial" w:cs="Arial" w:eastAsia="Arial" w:hAnsi="Arial"/>
                <w:sz w:val="22"/>
                <w:szCs w:val="22"/>
                <w:rtl w:val="0"/>
              </w:rPr>
              <w:t xml:space="preserve">student ID</w:t>
            </w:r>
            <w:r w:rsidDel="00000000" w:rsidR="00000000" w:rsidRPr="00000000">
              <w:rPr>
                <w:rFonts w:ascii="Arial" w:cs="Arial" w:eastAsia="Arial" w:hAnsi="Arial"/>
                <w:sz w:val="22"/>
                <w:szCs w:val="22"/>
                <w:rtl w:val="0"/>
              </w:rPr>
              <w:t xml:space="preserve"> number</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numPr>
                <w:ilvl w:val="0"/>
                <w:numId w:val="1"/>
              </w:numPr>
              <w:pBdr/>
              <w:spacing w:after="0" w:before="0" w:lineRule="auto"/>
              <w:ind w:left="181" w:hanging="180"/>
              <w:contextualSpacing w:val="1"/>
              <w:rPr>
                <w:sz w:val="22"/>
                <w:szCs w:val="22"/>
              </w:rPr>
            </w:pPr>
            <w:r w:rsidDel="00000000" w:rsidR="00000000" w:rsidRPr="00000000">
              <w:rPr>
                <w:rFonts w:ascii="Arial" w:cs="Arial" w:eastAsia="Arial" w:hAnsi="Arial"/>
                <w:sz w:val="22"/>
                <w:szCs w:val="22"/>
                <w:rtl w:val="0"/>
              </w:rPr>
              <w:t xml:space="preserve">Departments must not </w:t>
            </w:r>
            <w:r w:rsidDel="00000000" w:rsidR="00000000" w:rsidRPr="00000000">
              <w:rPr>
                <w:rFonts w:ascii="Arial" w:cs="Arial" w:eastAsia="Arial" w:hAnsi="Arial"/>
                <w:sz w:val="22"/>
                <w:szCs w:val="22"/>
                <w:rtl w:val="0"/>
              </w:rPr>
              <w:t xml:space="preserve"> list </w:t>
            </w:r>
            <w:r w:rsidDel="00000000" w:rsidR="00000000" w:rsidRPr="00000000">
              <w:rPr>
                <w:rFonts w:ascii="Arial" w:cs="Arial" w:eastAsia="Arial" w:hAnsi="Arial"/>
                <w:sz w:val="22"/>
                <w:szCs w:val="22"/>
                <w:rtl w:val="0"/>
              </w:rPr>
              <w:t xml:space="preserve">student </w:t>
            </w:r>
            <w:r w:rsidDel="00000000" w:rsidR="00000000" w:rsidRPr="00000000">
              <w:rPr>
                <w:rFonts w:ascii="Arial" w:cs="Arial" w:eastAsia="Arial" w:hAnsi="Arial"/>
                <w:sz w:val="22"/>
                <w:szCs w:val="22"/>
                <w:rtl w:val="0"/>
              </w:rPr>
              <w:t xml:space="preserve">name and ID</w:t>
            </w:r>
            <w:r w:rsidDel="00000000" w:rsidR="00000000" w:rsidRPr="00000000">
              <w:rPr>
                <w:rFonts w:ascii="Arial" w:cs="Arial" w:eastAsia="Arial" w:hAnsi="Arial"/>
                <w:sz w:val="22"/>
                <w:szCs w:val="22"/>
                <w:rtl w:val="0"/>
              </w:rPr>
              <w:t xml:space="preserve"> number</w:t>
            </w:r>
            <w:r w:rsidDel="00000000" w:rsidR="00000000" w:rsidRPr="00000000">
              <w:rPr>
                <w:rFonts w:ascii="Arial" w:cs="Arial" w:eastAsia="Arial" w:hAnsi="Arial"/>
                <w:sz w:val="22"/>
                <w:szCs w:val="22"/>
                <w:rtl w:val="0"/>
              </w:rPr>
              <w:t xml:space="preserve"> in the subject line</w:t>
            </w:r>
          </w:p>
          <w:p w:rsidR="00000000" w:rsidDel="00000000" w:rsidP="00000000" w:rsidRDefault="00000000" w:rsidRPr="00000000">
            <w:pPr>
              <w:numPr>
                <w:ilvl w:val="0"/>
                <w:numId w:val="1"/>
              </w:numPr>
              <w:pBdr/>
              <w:spacing w:after="0" w:before="0" w:lineRule="auto"/>
              <w:ind w:left="181" w:hanging="180"/>
              <w:contextualSpacing w:val="1"/>
              <w:rPr>
                <w:sz w:val="22"/>
                <w:szCs w:val="22"/>
              </w:rPr>
            </w:pPr>
            <w:r w:rsidDel="00000000" w:rsidR="00000000" w:rsidRPr="00000000">
              <w:rPr>
                <w:rFonts w:ascii="Arial" w:cs="Arial" w:eastAsia="Arial" w:hAnsi="Arial"/>
                <w:sz w:val="22"/>
                <w:szCs w:val="22"/>
                <w:rtl w:val="0"/>
              </w:rPr>
              <w:t xml:space="preserve">Departments may c</w:t>
            </w:r>
            <w:r w:rsidDel="00000000" w:rsidR="00000000" w:rsidRPr="00000000">
              <w:rPr>
                <w:rFonts w:ascii="Arial" w:cs="Arial" w:eastAsia="Arial" w:hAnsi="Arial"/>
                <w:sz w:val="22"/>
                <w:szCs w:val="22"/>
                <w:rtl w:val="0"/>
              </w:rPr>
              <w:t xml:space="preserve">ommunicate</w:t>
            </w:r>
            <w:r w:rsidDel="00000000" w:rsidR="00000000" w:rsidRPr="00000000">
              <w:rPr>
                <w:rFonts w:ascii="Arial" w:cs="Arial" w:eastAsia="Arial" w:hAnsi="Arial"/>
                <w:sz w:val="22"/>
                <w:szCs w:val="22"/>
                <w:rtl w:val="0"/>
              </w:rPr>
              <w:t xml:space="preserve"> using either the student ID with the full initials of the student [999999999 (ANW)] or use the full name with the last four of the ID [Alice N. Wonderland (1234)]</w:t>
            </w:r>
          </w:p>
          <w:p w:rsidR="00000000" w:rsidDel="00000000" w:rsidP="00000000" w:rsidRDefault="00000000" w:rsidRPr="00000000">
            <w:pPr>
              <w:numPr>
                <w:ilvl w:val="0"/>
                <w:numId w:val="1"/>
              </w:numPr>
              <w:pBdr/>
              <w:spacing w:after="0" w:before="0" w:lineRule="auto"/>
              <w:ind w:left="181" w:hanging="180"/>
              <w:contextualSpacing w:val="1"/>
              <w:rPr>
                <w:sz w:val="22"/>
                <w:szCs w:val="22"/>
              </w:rPr>
            </w:pPr>
            <w:r w:rsidDel="00000000" w:rsidR="00000000" w:rsidRPr="00000000">
              <w:rPr>
                <w:rFonts w:ascii="Arial" w:cs="Arial" w:eastAsia="Arial" w:hAnsi="Arial"/>
                <w:sz w:val="22"/>
                <w:szCs w:val="22"/>
                <w:rtl w:val="0"/>
              </w:rPr>
              <w:t xml:space="preserve">Departments must not </w:t>
            </w:r>
            <w:r w:rsidDel="00000000" w:rsidR="00000000" w:rsidRPr="00000000">
              <w:rPr>
                <w:rFonts w:ascii="Arial" w:cs="Arial" w:eastAsia="Arial" w:hAnsi="Arial"/>
                <w:sz w:val="22"/>
                <w:szCs w:val="22"/>
                <w:rtl w:val="0"/>
              </w:rPr>
              <w:t xml:space="preserve">attach spreadsheets or scanned documents with full identifiers or nondirectory information via email.  </w:t>
            </w:r>
            <w:r w:rsidDel="00000000" w:rsidR="00000000" w:rsidRPr="00000000">
              <w:rPr>
                <w:rFonts w:ascii="Arial" w:cs="Arial" w:eastAsia="Arial" w:hAnsi="Arial"/>
                <w:sz w:val="22"/>
                <w:szCs w:val="22"/>
                <w:rtl w:val="0"/>
              </w:rPr>
              <w:t xml:space="preserve">Departments may c</w:t>
            </w:r>
            <w:r w:rsidDel="00000000" w:rsidR="00000000" w:rsidRPr="00000000">
              <w:rPr>
                <w:rFonts w:ascii="Arial" w:cs="Arial" w:eastAsia="Arial" w:hAnsi="Arial"/>
                <w:sz w:val="22"/>
                <w:szCs w:val="22"/>
                <w:rtl w:val="0"/>
              </w:rPr>
              <w:t xml:space="preserve">ommunicate spreadsheets or scanned documents via a secure link or shared electronic files requiring </w:t>
            </w:r>
            <w:r w:rsidDel="00000000" w:rsidR="00000000" w:rsidRPr="00000000">
              <w:rPr>
                <w:rFonts w:ascii="Arial" w:cs="Arial" w:eastAsia="Arial" w:hAnsi="Arial"/>
                <w:sz w:val="22"/>
                <w:szCs w:val="22"/>
                <w:rtl w:val="0"/>
              </w:rPr>
              <w:t xml:space="preserve">user authentication </w:t>
            </w:r>
            <w:r w:rsidDel="00000000" w:rsidR="00000000" w:rsidRPr="00000000">
              <w:rPr>
                <w:rtl w:val="0"/>
              </w:rPr>
            </w:r>
          </w:p>
          <w:p w:rsidR="00000000" w:rsidDel="00000000" w:rsidP="00000000" w:rsidRDefault="00000000" w:rsidRPr="00000000">
            <w:pPr>
              <w:numPr>
                <w:ilvl w:val="0"/>
                <w:numId w:val="1"/>
              </w:numPr>
              <w:pBdr/>
              <w:spacing w:after="0" w:before="0" w:lineRule="auto"/>
              <w:ind w:left="181" w:hanging="180"/>
              <w:contextualSpacing w:val="1"/>
              <w:rPr>
                <w:sz w:val="22"/>
                <w:szCs w:val="22"/>
              </w:rPr>
            </w:pPr>
            <w:r w:rsidDel="00000000" w:rsidR="00000000" w:rsidRPr="00000000">
              <w:rPr>
                <w:rFonts w:ascii="Arial" w:cs="Arial" w:eastAsia="Arial" w:hAnsi="Arial"/>
                <w:sz w:val="22"/>
                <w:szCs w:val="22"/>
                <w:rtl w:val="0"/>
              </w:rPr>
              <w:t xml:space="preserve">Do not store FERPA data on a flash </w:t>
            </w:r>
            <w:r w:rsidDel="00000000" w:rsidR="00000000" w:rsidRPr="00000000">
              <w:rPr>
                <w:rFonts w:ascii="Arial" w:cs="Arial" w:eastAsia="Arial" w:hAnsi="Arial"/>
                <w:sz w:val="22"/>
                <w:szCs w:val="22"/>
                <w:rtl w:val="0"/>
              </w:rPr>
              <w:t xml:space="preserve">drive</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numPr>
                <w:ilvl w:val="0"/>
                <w:numId w:val="1"/>
              </w:numPr>
              <w:pBdr/>
              <w:spacing w:before="0" w:lineRule="auto"/>
              <w:ind w:left="181" w:hanging="180"/>
              <w:contextualSpacing w:val="1"/>
              <w:rPr>
                <w:sz w:val="22"/>
                <w:szCs w:val="22"/>
              </w:rPr>
            </w:pPr>
            <w:r w:rsidDel="00000000" w:rsidR="00000000" w:rsidRPr="00000000">
              <w:rPr>
                <w:rFonts w:ascii="Arial" w:cs="Arial" w:eastAsia="Arial" w:hAnsi="Arial"/>
                <w:sz w:val="22"/>
                <w:szCs w:val="22"/>
                <w:rtl w:val="0"/>
              </w:rPr>
              <w:t xml:space="preserve">If forwarding items with personally identifiable FERPA data, use a cover sheet directing the recipient to contact you if it is misdirected. </w:t>
            </w:r>
          </w:p>
        </w:tc>
      </w:tr>
      <w:tr>
        <w:tc>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Export controlled research data</w:t>
            </w:r>
            <w:r w:rsidDel="00000000" w:rsidR="00000000" w:rsidRPr="00000000">
              <w:rPr>
                <w:rtl w:val="0"/>
              </w:rPr>
            </w:r>
          </w:p>
        </w:tc>
        <w:tc>
          <w:tcPr/>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Virginia Tech Technology Control Plan</w:t>
            </w:r>
          </w:p>
          <w:p w:rsidR="00000000" w:rsidDel="00000000" w:rsidP="00000000" w:rsidRDefault="00000000" w:rsidRPr="00000000">
            <w:pPr>
              <w:pBdr/>
              <w:spacing w:line="276" w:lineRule="auto"/>
              <w:contextualSpacing w:val="0"/>
              <w:rPr>
                <w:rFonts w:ascii="Arial" w:cs="Arial" w:eastAsia="Arial" w:hAnsi="Arial"/>
                <w:sz w:val="22"/>
                <w:szCs w:val="22"/>
              </w:rPr>
            </w:pPr>
            <w:hyperlink r:id="rId68">
              <w:r w:rsidDel="00000000" w:rsidR="00000000" w:rsidRPr="00000000">
                <w:rPr>
                  <w:rFonts w:ascii="Arial" w:cs="Arial" w:eastAsia="Arial" w:hAnsi="Arial"/>
                  <w:color w:val="1155cc"/>
                  <w:sz w:val="22"/>
                  <w:szCs w:val="22"/>
                  <w:u w:val="single"/>
                  <w:rtl w:val="0"/>
                </w:rPr>
                <w:t xml:space="preserve">https://www.oesrc.researchcompliance.vt.edu/system/files/private/virginia_tech_technology_control_plan_2015_02_09.pdf</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spacing w:line="276" w:lineRule="auto"/>
              <w:contextualSpacing w:val="0"/>
              <w:rPr>
                <w:rFonts w:ascii="Arial" w:cs="Arial" w:eastAsia="Arial" w:hAnsi="Arial"/>
                <w:color w:val="1155cc"/>
                <w:sz w:val="22"/>
                <w:szCs w:val="22"/>
                <w:u w:val="single"/>
              </w:rPr>
            </w:pPr>
            <w:r w:rsidDel="00000000" w:rsidR="00000000" w:rsidRPr="00000000">
              <w:rPr>
                <w:rFonts w:ascii="Arial" w:cs="Arial" w:eastAsia="Arial" w:hAnsi="Arial"/>
                <w:sz w:val="22"/>
                <w:szCs w:val="22"/>
                <w:rtl w:val="0"/>
              </w:rPr>
              <w:t xml:space="preserve">VT Export and Sanctions Compliance Policy</w:t>
            </w:r>
            <w:hyperlink r:id="rId69">
              <w:r w:rsidDel="00000000" w:rsidR="00000000" w:rsidRPr="00000000">
                <w:rPr>
                  <w:rFonts w:ascii="Arial" w:cs="Arial" w:eastAsia="Arial" w:hAnsi="Arial"/>
                  <w:sz w:val="22"/>
                  <w:szCs w:val="22"/>
                  <w:rtl w:val="0"/>
                </w:rPr>
                <w:t xml:space="preserve"> </w:t>
              </w:r>
            </w:hyperlink>
            <w:hyperlink r:id="rId70">
              <w:r w:rsidDel="00000000" w:rsidR="00000000" w:rsidRPr="00000000">
                <w:rPr>
                  <w:rFonts w:ascii="Arial" w:cs="Arial" w:eastAsia="Arial" w:hAnsi="Arial"/>
                  <w:color w:val="1155cc"/>
                  <w:sz w:val="22"/>
                  <w:szCs w:val="22"/>
                  <w:u w:val="single"/>
                  <w:rtl w:val="0"/>
                </w:rPr>
                <w:t xml:space="preserve">http://www.policies.vt.edu/13045.pdf</w:t>
              </w:r>
            </w:hyperlink>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OSP Procedure 29-05:  Management of Restricted Research Agreements</w:t>
            </w:r>
          </w:p>
          <w:p w:rsidR="00000000" w:rsidDel="00000000" w:rsidP="00000000" w:rsidRDefault="00000000" w:rsidRPr="00000000">
            <w:pPr>
              <w:pBdr/>
              <w:spacing w:line="276" w:lineRule="auto"/>
              <w:contextualSpacing w:val="0"/>
              <w:rPr>
                <w:rFonts w:ascii="Arial" w:cs="Arial" w:eastAsia="Arial" w:hAnsi="Arial"/>
                <w:color w:val="1155cc"/>
                <w:sz w:val="22"/>
                <w:szCs w:val="22"/>
                <w:u w:val="single"/>
              </w:rPr>
            </w:pPr>
            <w:hyperlink r:id="rId71">
              <w:r w:rsidDel="00000000" w:rsidR="00000000" w:rsidRPr="00000000">
                <w:rPr>
                  <w:rFonts w:ascii="Arial" w:cs="Arial" w:eastAsia="Arial" w:hAnsi="Arial"/>
                  <w:color w:val="1155cc"/>
                  <w:sz w:val="22"/>
                  <w:szCs w:val="22"/>
                  <w:u w:val="single"/>
                  <w:rtl w:val="0"/>
                </w:rPr>
                <w:t xml:space="preserve">https://osp.vt.edu/content/dam/osp_vt_edu/policies/vt_osp_export_control_policy_osp-29-05.pdf</w:t>
              </w:r>
            </w:hyperlink>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VT Policy 12115:  Accepting and Reporting Gifts-in-Kind</w:t>
            </w:r>
          </w:p>
          <w:p w:rsidR="00000000" w:rsidDel="00000000" w:rsidP="00000000" w:rsidRDefault="00000000" w:rsidRPr="00000000">
            <w:pPr>
              <w:pBdr/>
              <w:contextualSpacing w:val="0"/>
              <w:rPr>
                <w:rFonts w:ascii="Arial" w:cs="Arial" w:eastAsia="Arial" w:hAnsi="Arial"/>
                <w:sz w:val="22"/>
                <w:szCs w:val="22"/>
              </w:rPr>
            </w:pPr>
            <w:hyperlink r:id="rId72">
              <w:r w:rsidDel="00000000" w:rsidR="00000000" w:rsidRPr="00000000">
                <w:rPr>
                  <w:rFonts w:ascii="Arial" w:cs="Arial" w:eastAsia="Arial" w:hAnsi="Arial"/>
                  <w:color w:val="1155cc"/>
                  <w:sz w:val="22"/>
                  <w:szCs w:val="22"/>
                  <w:u w:val="single"/>
                  <w:rtl w:val="0"/>
                </w:rPr>
                <w:t xml:space="preserve">http://www.policies.vt.edu/12115.pdf</w:t>
              </w:r>
            </w:hyperlink>
            <w:r w:rsidDel="00000000" w:rsidR="00000000" w:rsidRPr="00000000">
              <w:rPr>
                <w:rtl w:val="0"/>
              </w:rPr>
            </w:r>
          </w:p>
        </w:tc>
        <w:tc>
          <w:tcPr/>
          <w:p w:rsidR="00000000" w:rsidDel="00000000" w:rsidP="00000000" w:rsidRDefault="00000000" w:rsidRPr="00000000">
            <w:pPr>
              <w:pBdr/>
              <w:spacing w:line="276" w:lineRule="auto"/>
              <w:contextualSpacing w:val="0"/>
              <w:rPr>
                <w:rFonts w:ascii="Arial" w:cs="Arial" w:eastAsia="Arial" w:hAnsi="Arial"/>
                <w:color w:val="1155cc"/>
                <w:sz w:val="22"/>
                <w:szCs w:val="22"/>
                <w:u w:val="single"/>
              </w:rPr>
            </w:pPr>
            <w:r w:rsidDel="00000000" w:rsidR="00000000" w:rsidRPr="00000000">
              <w:rPr>
                <w:rFonts w:ascii="Arial" w:cs="Arial" w:eastAsia="Arial" w:hAnsi="Arial"/>
                <w:sz w:val="22"/>
                <w:szCs w:val="22"/>
                <w:rtl w:val="0"/>
              </w:rPr>
              <w:t xml:space="preserve">Executive Order 13556 Controlled Unclassified Information</w:t>
            </w:r>
            <w:hyperlink r:id="rId73">
              <w:r w:rsidDel="00000000" w:rsidR="00000000" w:rsidRPr="00000000">
                <w:rPr>
                  <w:rFonts w:ascii="Arial" w:cs="Arial" w:eastAsia="Arial" w:hAnsi="Arial"/>
                  <w:sz w:val="22"/>
                  <w:szCs w:val="22"/>
                  <w:rtl w:val="0"/>
                </w:rPr>
                <w:t xml:space="preserve"> </w:t>
              </w:r>
            </w:hyperlink>
            <w:hyperlink r:id="rId74">
              <w:r w:rsidDel="00000000" w:rsidR="00000000" w:rsidRPr="00000000">
                <w:rPr>
                  <w:rFonts w:ascii="Arial" w:cs="Arial" w:eastAsia="Arial" w:hAnsi="Arial"/>
                  <w:color w:val="1155cc"/>
                  <w:sz w:val="22"/>
                  <w:szCs w:val="22"/>
                  <w:u w:val="single"/>
                  <w:rtl w:val="0"/>
                </w:rPr>
                <w:t xml:space="preserve">https://obamawhitehouse.archives.gov/the-press-office/2010/11/04/executive-order-13556-controlled-unclassified-information</w:t>
              </w:r>
            </w:hyperlink>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spacing w:line="276" w:lineRule="auto"/>
              <w:contextualSpacing w:val="0"/>
              <w:rPr>
                <w:rFonts w:ascii="Arial" w:cs="Arial" w:eastAsia="Arial" w:hAnsi="Arial"/>
                <w:color w:val="1155cc"/>
                <w:sz w:val="22"/>
                <w:szCs w:val="22"/>
                <w:u w:val="single"/>
              </w:rPr>
            </w:pPr>
            <w:r w:rsidDel="00000000" w:rsidR="00000000" w:rsidRPr="00000000">
              <w:rPr>
                <w:rFonts w:ascii="Arial" w:cs="Arial" w:eastAsia="Arial" w:hAnsi="Arial"/>
                <w:sz w:val="22"/>
                <w:szCs w:val="22"/>
                <w:rtl w:val="0"/>
              </w:rPr>
              <w:t xml:space="preserve">Controlled Unclassified Information 32 CFR §2002</w:t>
            </w:r>
            <w:hyperlink r:id="rId75">
              <w:r w:rsidDel="00000000" w:rsidR="00000000" w:rsidRPr="00000000">
                <w:rPr>
                  <w:rFonts w:ascii="Arial" w:cs="Arial" w:eastAsia="Arial" w:hAnsi="Arial"/>
                  <w:sz w:val="22"/>
                  <w:szCs w:val="22"/>
                  <w:rtl w:val="0"/>
                </w:rPr>
                <w:t xml:space="preserve"> </w:t>
              </w:r>
            </w:hyperlink>
            <w:hyperlink r:id="rId76">
              <w:r w:rsidDel="00000000" w:rsidR="00000000" w:rsidRPr="00000000">
                <w:rPr>
                  <w:rFonts w:ascii="Arial" w:cs="Arial" w:eastAsia="Arial" w:hAnsi="Arial"/>
                  <w:color w:val="1155cc"/>
                  <w:sz w:val="22"/>
                  <w:szCs w:val="22"/>
                  <w:u w:val="single"/>
                  <w:rtl w:val="0"/>
                </w:rPr>
                <w:t xml:space="preserve">https://www.federalregister.gov/documents/2016/09/14/2016-21665/controlled-unclassified-information</w:t>
              </w:r>
            </w:hyperlink>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Export Administration Regulations (EAR) 15 CFR §§730-774</w:t>
            </w:r>
          </w:p>
          <w:p w:rsidR="00000000" w:rsidDel="00000000" w:rsidP="00000000" w:rsidRDefault="00000000" w:rsidRPr="00000000">
            <w:pPr>
              <w:pBdr/>
              <w:spacing w:line="276" w:lineRule="auto"/>
              <w:contextualSpacing w:val="0"/>
              <w:rPr>
                <w:rFonts w:ascii="Arial" w:cs="Arial" w:eastAsia="Arial" w:hAnsi="Arial"/>
                <w:color w:val="1155cc"/>
                <w:sz w:val="22"/>
                <w:szCs w:val="22"/>
                <w:u w:val="single"/>
              </w:rPr>
            </w:pPr>
            <w:hyperlink r:id="rId77">
              <w:r w:rsidDel="00000000" w:rsidR="00000000" w:rsidRPr="00000000">
                <w:rPr>
                  <w:rFonts w:ascii="Arial" w:cs="Arial" w:eastAsia="Arial" w:hAnsi="Arial"/>
                  <w:color w:val="1155cc"/>
                  <w:sz w:val="22"/>
                  <w:szCs w:val="22"/>
                  <w:u w:val="single"/>
                  <w:rtl w:val="0"/>
                </w:rPr>
                <w:t xml:space="preserve">http://www.ecfr.gov/cgi-bin/text-idx?SID=a010f4662b853e201c87b56dab273b42&amp;mc=true&amp;tpl=/ecfrbrowse/Title15/15CVIIsubchapC.tpl</w:t>
              </w:r>
            </w:hyperlink>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International Traffic in Arms Regulations (ITAR) 22 CFR §§120-130</w:t>
            </w:r>
          </w:p>
          <w:p w:rsidR="00000000" w:rsidDel="00000000" w:rsidP="00000000" w:rsidRDefault="00000000" w:rsidRPr="00000000">
            <w:pPr>
              <w:pBdr/>
              <w:spacing w:line="276" w:lineRule="auto"/>
              <w:contextualSpacing w:val="0"/>
              <w:rPr>
                <w:rFonts w:ascii="Arial" w:cs="Arial" w:eastAsia="Arial" w:hAnsi="Arial"/>
                <w:color w:val="1155cc"/>
                <w:sz w:val="22"/>
                <w:szCs w:val="22"/>
                <w:u w:val="single"/>
              </w:rPr>
            </w:pPr>
            <w:hyperlink r:id="rId78">
              <w:r w:rsidDel="00000000" w:rsidR="00000000" w:rsidRPr="00000000">
                <w:rPr>
                  <w:rFonts w:ascii="Arial" w:cs="Arial" w:eastAsia="Arial" w:hAnsi="Arial"/>
                  <w:color w:val="1155cc"/>
                  <w:sz w:val="22"/>
                  <w:szCs w:val="22"/>
                  <w:u w:val="single"/>
                  <w:rtl w:val="0"/>
                </w:rPr>
                <w:t xml:space="preserve">http://www.ecfr.gov/cgi-bin/text-idx?tpl=/ecfrbrowse/Title22/22cfr120_main_02.tpl</w:t>
              </w:r>
            </w:hyperlink>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spacing w:line="276" w:lineRule="auto"/>
              <w:contextualSpacing w:val="0"/>
              <w:rPr>
                <w:rFonts w:ascii="Arial" w:cs="Arial" w:eastAsia="Arial" w:hAnsi="Arial"/>
                <w:color w:val="1155cc"/>
                <w:sz w:val="22"/>
                <w:szCs w:val="22"/>
                <w:u w:val="single"/>
              </w:rPr>
            </w:pPr>
            <w:r w:rsidDel="00000000" w:rsidR="00000000" w:rsidRPr="00000000">
              <w:rPr>
                <w:rFonts w:ascii="Arial" w:cs="Arial" w:eastAsia="Arial" w:hAnsi="Arial"/>
                <w:sz w:val="22"/>
                <w:szCs w:val="22"/>
                <w:rtl w:val="0"/>
              </w:rPr>
              <w:t xml:space="preserve">Importation of Arms, Ammunition and Implements of War  27 CFR §447</w:t>
            </w:r>
            <w:hyperlink r:id="rId79">
              <w:r w:rsidDel="00000000" w:rsidR="00000000" w:rsidRPr="00000000">
                <w:rPr>
                  <w:rFonts w:ascii="Arial" w:cs="Arial" w:eastAsia="Arial" w:hAnsi="Arial"/>
                  <w:sz w:val="22"/>
                  <w:szCs w:val="22"/>
                  <w:rtl w:val="0"/>
                </w:rPr>
                <w:t xml:space="preserve"> </w:t>
              </w:r>
            </w:hyperlink>
            <w:hyperlink r:id="rId80">
              <w:r w:rsidDel="00000000" w:rsidR="00000000" w:rsidRPr="00000000">
                <w:rPr>
                  <w:rFonts w:ascii="Arial" w:cs="Arial" w:eastAsia="Arial" w:hAnsi="Arial"/>
                  <w:color w:val="1155cc"/>
                  <w:sz w:val="22"/>
                  <w:szCs w:val="22"/>
                  <w:u w:val="single"/>
                  <w:rtl w:val="0"/>
                </w:rPr>
                <w:t xml:space="preserve">http://www.ecfr.gov/cgi-bin/text-idx?c=ecfr;rgn=div5;view=text;node=27%3A3.0.1.2.2;idno=27;sid=f4e4c0fd4d94e9106565233ee81c773a;cc=ecfr</w:t>
              </w:r>
            </w:hyperlink>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Export and Import of Nuclear Equipment and Material Regulations (EINEMR) 10 CFR §110</w:t>
            </w:r>
          </w:p>
          <w:p w:rsidR="00000000" w:rsidDel="00000000" w:rsidP="00000000" w:rsidRDefault="00000000" w:rsidRPr="00000000">
            <w:pPr>
              <w:pBdr/>
              <w:spacing w:line="276" w:lineRule="auto"/>
              <w:contextualSpacing w:val="0"/>
              <w:rPr>
                <w:rFonts w:ascii="Arial" w:cs="Arial" w:eastAsia="Arial" w:hAnsi="Arial"/>
                <w:color w:val="1155cc"/>
                <w:sz w:val="22"/>
                <w:szCs w:val="22"/>
                <w:u w:val="single"/>
              </w:rPr>
            </w:pPr>
            <w:hyperlink r:id="rId81">
              <w:r w:rsidDel="00000000" w:rsidR="00000000" w:rsidRPr="00000000">
                <w:rPr>
                  <w:rFonts w:ascii="Arial" w:cs="Arial" w:eastAsia="Arial" w:hAnsi="Arial"/>
                  <w:color w:val="1155cc"/>
                  <w:sz w:val="22"/>
                  <w:szCs w:val="22"/>
                  <w:u w:val="single"/>
                  <w:rtl w:val="0"/>
                </w:rPr>
                <w:t xml:space="preserve">http://www.ecfr.gov/cgi-bin/text-idx?rgn=div5&amp;node=10:2.0.1.1.20</w:t>
              </w:r>
            </w:hyperlink>
          </w:p>
          <w:p w:rsidR="00000000" w:rsidDel="00000000" w:rsidP="00000000" w:rsidRDefault="00000000" w:rsidRPr="00000000">
            <w:pPr>
              <w:pBdr/>
              <w:spacing w:line="276" w:lineRule="auto"/>
              <w:contextualSpacing w:val="0"/>
              <w:rPr>
                <w:rFonts w:ascii="Arial" w:cs="Arial" w:eastAsia="Arial" w:hAnsi="Arial"/>
                <w:color w:val="1155cc"/>
                <w:sz w:val="22"/>
                <w:szCs w:val="22"/>
                <w:u w:val="single"/>
              </w:rPr>
            </w:pPr>
            <w:r w:rsidDel="00000000" w:rsidR="00000000" w:rsidRPr="00000000">
              <w:rPr>
                <w:rFonts w:ascii="Arial" w:cs="Arial" w:eastAsia="Arial" w:hAnsi="Arial"/>
                <w:color w:val="1155cc"/>
                <w:sz w:val="22"/>
                <w:szCs w:val="22"/>
                <w:u w:val="single"/>
                <w:rtl w:val="0"/>
              </w:rPr>
              <w:t xml:space="preserve"> </w:t>
            </w:r>
          </w:p>
          <w:p w:rsidR="00000000" w:rsidDel="00000000" w:rsidP="00000000" w:rsidRDefault="00000000" w:rsidRPr="00000000">
            <w:pPr>
              <w:pBdr/>
              <w:spacing w:line="276" w:lineRule="auto"/>
              <w:contextualSpacing w:val="0"/>
              <w:rPr>
                <w:rFonts w:ascii="Arial" w:cs="Arial" w:eastAsia="Arial" w:hAnsi="Arial"/>
                <w:color w:val="1155cc"/>
                <w:sz w:val="22"/>
                <w:szCs w:val="22"/>
              </w:rPr>
            </w:pPr>
            <w:r w:rsidDel="00000000" w:rsidR="00000000" w:rsidRPr="00000000">
              <w:rPr>
                <w:rFonts w:ascii="Arial" w:cs="Arial" w:eastAsia="Arial" w:hAnsi="Arial"/>
                <w:sz w:val="22"/>
                <w:szCs w:val="22"/>
                <w:rtl w:val="0"/>
              </w:rPr>
              <w:t xml:space="preserve">Assistance to Foreign Atomic Energy Activities Regulations (AFAEAR) 10 CFR §810</w:t>
            </w:r>
            <w:hyperlink r:id="rId82">
              <w:r w:rsidDel="00000000" w:rsidR="00000000" w:rsidRPr="00000000">
                <w:rPr>
                  <w:rFonts w:ascii="Arial" w:cs="Arial" w:eastAsia="Arial" w:hAnsi="Arial"/>
                  <w:sz w:val="22"/>
                  <w:szCs w:val="22"/>
                  <w:rtl w:val="0"/>
                </w:rPr>
                <w:t xml:space="preserve"> </w:t>
              </w:r>
            </w:hyperlink>
            <w:hyperlink r:id="rId83">
              <w:r w:rsidDel="00000000" w:rsidR="00000000" w:rsidRPr="00000000">
                <w:rPr>
                  <w:rFonts w:ascii="Arial" w:cs="Arial" w:eastAsia="Arial" w:hAnsi="Arial"/>
                  <w:color w:val="1155cc"/>
                  <w:sz w:val="22"/>
                  <w:szCs w:val="22"/>
                  <w:rtl w:val="0"/>
                </w:rPr>
                <w:t xml:space="preserve">http://www.ecfr.gov/cgi-bin/text-idx?tpl=/ecfrbrowse/Title10/10cfr810_main_02.tpl</w:t>
              </w:r>
            </w:hyperlink>
          </w:p>
          <w:p w:rsidR="00000000" w:rsidDel="00000000" w:rsidP="00000000" w:rsidRDefault="00000000" w:rsidRPr="00000000">
            <w:pPr>
              <w:pBdr/>
              <w:spacing w:line="276" w:lineRule="auto"/>
              <w:contextualSpacing w:val="0"/>
              <w:rPr>
                <w:rFonts w:ascii="Arial" w:cs="Arial" w:eastAsia="Arial" w:hAnsi="Arial"/>
                <w:color w:val="1155cc"/>
                <w:sz w:val="22"/>
                <w:szCs w:val="22"/>
              </w:rPr>
            </w:pPr>
            <w:r w:rsidDel="00000000" w:rsidR="00000000" w:rsidRPr="00000000">
              <w:rPr>
                <w:rFonts w:ascii="Arial" w:cs="Arial" w:eastAsia="Arial" w:hAnsi="Arial"/>
                <w:color w:val="1155cc"/>
                <w:sz w:val="22"/>
                <w:szCs w:val="22"/>
                <w:rtl w:val="0"/>
              </w:rPr>
              <w:t xml:space="preserve"> </w:t>
            </w:r>
          </w:p>
          <w:p w:rsidR="00000000" w:rsidDel="00000000" w:rsidP="00000000" w:rsidRDefault="00000000" w:rsidRPr="00000000">
            <w:pPr>
              <w:pBdr/>
              <w:spacing w:line="276" w:lineRule="auto"/>
              <w:contextualSpacing w:val="0"/>
              <w:rPr>
                <w:rFonts w:ascii="Arial" w:cs="Arial" w:eastAsia="Arial" w:hAnsi="Arial"/>
                <w:color w:val="1155cc"/>
                <w:sz w:val="22"/>
                <w:szCs w:val="22"/>
              </w:rPr>
            </w:pPr>
            <w:r w:rsidDel="00000000" w:rsidR="00000000" w:rsidRPr="00000000">
              <w:rPr>
                <w:rFonts w:ascii="Arial" w:cs="Arial" w:eastAsia="Arial" w:hAnsi="Arial"/>
                <w:sz w:val="22"/>
                <w:szCs w:val="22"/>
                <w:rtl w:val="0"/>
              </w:rPr>
              <w:t xml:space="preserve">Unclassified Nuclear Controlled Information (UNCI) 42 U.S.C. 2168</w:t>
            </w:r>
            <w:hyperlink r:id="rId84">
              <w:r w:rsidDel="00000000" w:rsidR="00000000" w:rsidRPr="00000000">
                <w:rPr>
                  <w:rFonts w:ascii="Arial" w:cs="Arial" w:eastAsia="Arial" w:hAnsi="Arial"/>
                  <w:sz w:val="22"/>
                  <w:szCs w:val="22"/>
                  <w:rtl w:val="0"/>
                </w:rPr>
                <w:t xml:space="preserve"> </w:t>
              </w:r>
            </w:hyperlink>
            <w:hyperlink r:id="rId85">
              <w:r w:rsidDel="00000000" w:rsidR="00000000" w:rsidRPr="00000000">
                <w:rPr>
                  <w:rFonts w:ascii="Arial" w:cs="Arial" w:eastAsia="Arial" w:hAnsi="Arial"/>
                  <w:color w:val="1155cc"/>
                  <w:sz w:val="22"/>
                  <w:szCs w:val="22"/>
                  <w:rtl w:val="0"/>
                </w:rPr>
                <w:t xml:space="preserve">https://www.gpo.gov/fdsys/granule/USCODE-2010-title42/USCODE-2010-title42-chap23-divsnA-subchapXI-sec2168</w:t>
              </w:r>
            </w:hyperlink>
          </w:p>
          <w:p w:rsidR="00000000" w:rsidDel="00000000" w:rsidP="00000000" w:rsidRDefault="00000000" w:rsidRPr="00000000">
            <w:pPr>
              <w:pBdr/>
              <w:spacing w:line="276" w:lineRule="auto"/>
              <w:contextualSpacing w:val="0"/>
              <w:rPr>
                <w:rFonts w:ascii="Arial" w:cs="Arial" w:eastAsia="Arial" w:hAnsi="Arial"/>
                <w:color w:val="1155cc"/>
                <w:sz w:val="22"/>
                <w:szCs w:val="22"/>
                <w:u w:val="single"/>
              </w:rPr>
            </w:pPr>
            <w:r w:rsidDel="00000000" w:rsidR="00000000" w:rsidRPr="00000000">
              <w:rPr>
                <w:rFonts w:ascii="Arial" w:cs="Arial" w:eastAsia="Arial" w:hAnsi="Arial"/>
                <w:sz w:val="22"/>
                <w:szCs w:val="22"/>
                <w:rtl w:val="0"/>
              </w:rPr>
              <w:t xml:space="preserve">Foreign Assets Control Regulations (FACR) 31 CFR §§500-599</w:t>
            </w:r>
            <w:hyperlink r:id="rId86">
              <w:r w:rsidDel="00000000" w:rsidR="00000000" w:rsidRPr="00000000">
                <w:rPr>
                  <w:rFonts w:ascii="Arial" w:cs="Arial" w:eastAsia="Arial" w:hAnsi="Arial"/>
                  <w:sz w:val="22"/>
                  <w:szCs w:val="22"/>
                  <w:rtl w:val="0"/>
                </w:rPr>
                <w:t xml:space="preserve"> </w:t>
              </w:r>
            </w:hyperlink>
            <w:hyperlink r:id="rId87">
              <w:r w:rsidDel="00000000" w:rsidR="00000000" w:rsidRPr="00000000">
                <w:rPr>
                  <w:rFonts w:ascii="Arial" w:cs="Arial" w:eastAsia="Arial" w:hAnsi="Arial"/>
                  <w:color w:val="1155cc"/>
                  <w:sz w:val="22"/>
                  <w:szCs w:val="22"/>
                  <w:u w:val="single"/>
                  <w:rtl w:val="0"/>
                </w:rPr>
                <w:t xml:space="preserve">http://www.ecfr.gov/cgi-bin/text-idx?SID=2b44158b17abd90e0056f2cf97d5a257&amp;mc=true&amp;tpl=/ecfrbrowse/Title31/31cfrv3_02.tpl#0</w:t>
              </w:r>
            </w:hyperlink>
          </w:p>
          <w:p w:rsidR="00000000" w:rsidDel="00000000" w:rsidP="00000000" w:rsidRDefault="00000000" w:rsidRPr="00000000">
            <w:pPr>
              <w:pBdr/>
              <w:spacing w:line="256.8" w:lineRule="auto"/>
              <w:contextualSpacing w:val="0"/>
              <w:rPr>
                <w:rFonts w:ascii="Arial" w:cs="Arial" w:eastAsia="Arial" w:hAnsi="Arial"/>
                <w:color w:val="1155cc"/>
                <w:sz w:val="22"/>
                <w:szCs w:val="22"/>
                <w:u w:val="single"/>
              </w:rPr>
            </w:pPr>
            <w:r w:rsidDel="00000000" w:rsidR="00000000" w:rsidRPr="00000000">
              <w:rPr>
                <w:rFonts w:ascii="Arial" w:cs="Arial" w:eastAsia="Arial" w:hAnsi="Arial"/>
                <w:sz w:val="22"/>
                <w:szCs w:val="22"/>
                <w:rtl w:val="0"/>
              </w:rPr>
              <w:t xml:space="preserve">Secrecy of Certain Inventions and Licenses to Export (PTO) 37 CFR §5</w:t>
            </w:r>
            <w:hyperlink r:id="rId88">
              <w:r w:rsidDel="00000000" w:rsidR="00000000" w:rsidRPr="00000000">
                <w:rPr>
                  <w:rFonts w:ascii="Arial" w:cs="Arial" w:eastAsia="Arial" w:hAnsi="Arial"/>
                  <w:sz w:val="22"/>
                  <w:szCs w:val="22"/>
                  <w:rtl w:val="0"/>
                </w:rPr>
                <w:t xml:space="preserve"> </w:t>
              </w:r>
            </w:hyperlink>
            <w:hyperlink r:id="rId89">
              <w:r w:rsidDel="00000000" w:rsidR="00000000" w:rsidRPr="00000000">
                <w:rPr>
                  <w:rFonts w:ascii="Arial" w:cs="Arial" w:eastAsia="Arial" w:hAnsi="Arial"/>
                  <w:color w:val="1155cc"/>
                  <w:sz w:val="22"/>
                  <w:szCs w:val="22"/>
                  <w:u w:val="single"/>
                  <w:rtl w:val="0"/>
                </w:rPr>
                <w:t xml:space="preserve">https://www.gpo.gov/fdsys/granule/CFR-2002-title37-vol1/CFR-2002-title37-vol1-part5</w:t>
              </w:r>
            </w:hyperlink>
          </w:p>
          <w:p w:rsidR="00000000" w:rsidDel="00000000" w:rsidP="00000000" w:rsidRDefault="00000000" w:rsidRPr="00000000">
            <w:pPr>
              <w:pBdr/>
              <w:spacing w:line="256.8" w:lineRule="auto"/>
              <w:contextualSpacing w:val="0"/>
              <w:rPr>
                <w:rFonts w:ascii="Arial" w:cs="Arial" w:eastAsia="Arial" w:hAnsi="Arial"/>
                <w:color w:val="1155cc"/>
                <w:sz w:val="22"/>
                <w:szCs w:val="22"/>
                <w:u w:val="single"/>
              </w:rPr>
            </w:pPr>
            <w:hyperlink r:id="rId90">
              <w:r w:rsidDel="00000000" w:rsidR="00000000" w:rsidRPr="00000000">
                <w:rPr>
                  <w:rtl w:val="0"/>
                </w:rPr>
              </w:r>
            </w:hyperlink>
          </w:p>
        </w:tc>
        <w:tc>
          <w:tcPr/>
          <w:p w:rsidR="00000000" w:rsidDel="00000000" w:rsidP="00000000" w:rsidRDefault="00000000" w:rsidRPr="00000000">
            <w:pPr>
              <w:pBdr/>
              <w:spacing w:before="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Virginia Tech Technology Control Plan guidelines</w:t>
            </w:r>
          </w:p>
          <w:p w:rsidR="00000000" w:rsidDel="00000000" w:rsidP="00000000" w:rsidRDefault="00000000" w:rsidRPr="00000000">
            <w:pPr>
              <w:pBdr/>
              <w:spacing w:before="0" w:line="276" w:lineRule="auto"/>
              <w:contextualSpacing w:val="0"/>
              <w:rPr>
                <w:rFonts w:ascii="Arial" w:cs="Arial" w:eastAsia="Arial" w:hAnsi="Arial"/>
                <w:color w:val="1155cc"/>
                <w:sz w:val="22"/>
                <w:szCs w:val="22"/>
                <w:u w:val="single"/>
              </w:rPr>
            </w:pPr>
            <w:hyperlink r:id="rId91">
              <w:r w:rsidDel="00000000" w:rsidR="00000000" w:rsidRPr="00000000">
                <w:rPr>
                  <w:rFonts w:ascii="Arial" w:cs="Arial" w:eastAsia="Arial" w:hAnsi="Arial"/>
                  <w:color w:val="1155cc"/>
                  <w:sz w:val="22"/>
                  <w:szCs w:val="22"/>
                  <w:u w:val="single"/>
                  <w:rtl w:val="0"/>
                </w:rPr>
                <w:t xml:space="preserve">https://www.oesrc.researchcompliance.vt.edu/system/files/private/technology_control_plan_tcp_guidelines_11-10-2014.pdf</w:t>
              </w:r>
            </w:hyperlink>
          </w:p>
          <w:p w:rsidR="00000000" w:rsidDel="00000000" w:rsidP="00000000" w:rsidRDefault="00000000" w:rsidRPr="00000000">
            <w:pPr>
              <w:pBdr/>
              <w:spacing w:before="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spacing w:before="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Department of Defense Instruction 8582.01</w:t>
            </w:r>
          </w:p>
          <w:p w:rsidR="00000000" w:rsidDel="00000000" w:rsidP="00000000" w:rsidRDefault="00000000" w:rsidRPr="00000000">
            <w:pPr>
              <w:pBdr/>
              <w:spacing w:before="0" w:line="276" w:lineRule="auto"/>
              <w:contextualSpacing w:val="0"/>
              <w:rPr>
                <w:rFonts w:ascii="Arial" w:cs="Arial" w:eastAsia="Arial" w:hAnsi="Arial"/>
                <w:color w:val="1155cc"/>
                <w:sz w:val="22"/>
                <w:szCs w:val="22"/>
                <w:u w:val="single"/>
              </w:rPr>
            </w:pPr>
            <w:hyperlink r:id="rId92">
              <w:r w:rsidDel="00000000" w:rsidR="00000000" w:rsidRPr="00000000">
                <w:rPr>
                  <w:rFonts w:ascii="Arial" w:cs="Arial" w:eastAsia="Arial" w:hAnsi="Arial"/>
                  <w:color w:val="1155cc"/>
                  <w:sz w:val="22"/>
                  <w:szCs w:val="22"/>
                  <w:u w:val="single"/>
                  <w:rtl w:val="0"/>
                </w:rPr>
                <w:t xml:space="preserve">http://www.dtic.mil/whs/directives/corres/pdf/858201p.pdf</w:t>
              </w:r>
            </w:hyperlink>
          </w:p>
          <w:p w:rsidR="00000000" w:rsidDel="00000000" w:rsidP="00000000" w:rsidRDefault="00000000" w:rsidRPr="00000000">
            <w:pPr>
              <w:pBdr/>
              <w:spacing w:before="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spacing w:before="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 applicable) Federal Acquisition Regulation 52.204-21 Basic Safeguarding of Covered Contractor Information Systems</w:t>
            </w:r>
          </w:p>
          <w:p w:rsidR="00000000" w:rsidDel="00000000" w:rsidP="00000000" w:rsidRDefault="00000000" w:rsidRPr="00000000">
            <w:pPr>
              <w:pBdr/>
              <w:spacing w:before="0" w:line="276" w:lineRule="auto"/>
              <w:contextualSpacing w:val="0"/>
              <w:rPr>
                <w:rFonts w:ascii="Arial" w:cs="Arial" w:eastAsia="Arial" w:hAnsi="Arial"/>
                <w:color w:val="1155cc"/>
                <w:sz w:val="22"/>
                <w:szCs w:val="22"/>
                <w:u w:val="single"/>
              </w:rPr>
            </w:pPr>
            <w:hyperlink r:id="rId93">
              <w:r w:rsidDel="00000000" w:rsidR="00000000" w:rsidRPr="00000000">
                <w:rPr>
                  <w:rFonts w:ascii="Arial" w:cs="Arial" w:eastAsia="Arial" w:hAnsi="Arial"/>
                  <w:color w:val="1155cc"/>
                  <w:sz w:val="22"/>
                  <w:szCs w:val="22"/>
                  <w:u w:val="single"/>
                  <w:rtl w:val="0"/>
                </w:rPr>
                <w:t xml:space="preserve">http://farsite.hill.af.mil/reghtml/regs/far2afmcfars/fardfars/Far/52_000.htm#P891_130989</w:t>
              </w:r>
            </w:hyperlink>
          </w:p>
          <w:p w:rsidR="00000000" w:rsidDel="00000000" w:rsidP="00000000" w:rsidRDefault="00000000" w:rsidRPr="00000000">
            <w:pPr>
              <w:pBdr/>
              <w:spacing w:before="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spacing w:before="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 applicable) NIST 800-171</w:t>
            </w:r>
          </w:p>
          <w:p w:rsidR="00000000" w:rsidDel="00000000" w:rsidP="00000000" w:rsidRDefault="00000000" w:rsidRPr="00000000">
            <w:pPr>
              <w:pBdr/>
              <w:spacing w:before="0" w:line="276" w:lineRule="auto"/>
              <w:contextualSpacing w:val="0"/>
              <w:rPr>
                <w:rFonts w:ascii="Arial" w:cs="Arial" w:eastAsia="Arial" w:hAnsi="Arial"/>
                <w:color w:val="1155cc"/>
                <w:sz w:val="22"/>
                <w:szCs w:val="22"/>
                <w:u w:val="single"/>
              </w:rPr>
            </w:pPr>
            <w:r w:rsidDel="00000000" w:rsidR="00000000" w:rsidRPr="00000000">
              <w:rPr>
                <w:rFonts w:ascii="Arial" w:cs="Arial" w:eastAsia="Arial" w:hAnsi="Arial"/>
                <w:color w:val="1155cc"/>
                <w:sz w:val="22"/>
                <w:szCs w:val="22"/>
                <w:u w:val="single"/>
                <w:rtl w:val="0"/>
              </w:rPr>
              <w:t xml:space="preserve">http://nvlpubs.nist.gov/nistpubs/SpecialPublications/NIST.SP.800-171r1.pdf</w:t>
            </w:r>
          </w:p>
          <w:p w:rsidR="00000000" w:rsidDel="00000000" w:rsidP="00000000" w:rsidRDefault="00000000" w:rsidRPr="00000000">
            <w:pPr>
              <w:pBdr/>
              <w:spacing w:before="0" w:line="276" w:lineRule="auto"/>
              <w:contextualSpacing w:val="0"/>
              <w:rPr>
                <w:rFonts w:ascii="Arial" w:cs="Arial" w:eastAsia="Arial" w:hAnsi="Arial"/>
                <w:color w:val="1155cc"/>
                <w:sz w:val="22"/>
                <w:szCs w:val="22"/>
                <w:u w:val="single"/>
              </w:rPr>
            </w:pPr>
            <w:r w:rsidDel="00000000" w:rsidR="00000000" w:rsidRPr="00000000">
              <w:rPr>
                <w:rFonts w:ascii="Arial" w:cs="Arial" w:eastAsia="Arial" w:hAnsi="Arial"/>
                <w:color w:val="1155cc"/>
                <w:sz w:val="22"/>
                <w:szCs w:val="22"/>
                <w:u w:val="single"/>
                <w:rtl w:val="0"/>
              </w:rPr>
              <w:t xml:space="preserve"> </w:t>
            </w:r>
          </w:p>
          <w:p w:rsidR="00000000" w:rsidDel="00000000" w:rsidP="00000000" w:rsidRDefault="00000000" w:rsidRPr="00000000">
            <w:pPr>
              <w:pBdr/>
              <w:spacing w:before="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 applicable) NIST 800-53</w:t>
            </w:r>
          </w:p>
          <w:p w:rsidR="00000000" w:rsidDel="00000000" w:rsidP="00000000" w:rsidRDefault="00000000" w:rsidRPr="00000000">
            <w:pPr>
              <w:pBdr/>
              <w:spacing w:before="0" w:lineRule="auto"/>
              <w:contextualSpacing w:val="0"/>
              <w:rPr>
                <w:rFonts w:ascii="Arial" w:cs="Arial" w:eastAsia="Arial" w:hAnsi="Arial"/>
                <w:sz w:val="22"/>
                <w:szCs w:val="22"/>
              </w:rPr>
            </w:pPr>
            <w:hyperlink r:id="rId94">
              <w:r w:rsidDel="00000000" w:rsidR="00000000" w:rsidRPr="00000000">
                <w:rPr>
                  <w:rFonts w:ascii="Arial" w:cs="Arial" w:eastAsia="Arial" w:hAnsi="Arial"/>
                  <w:color w:val="1155cc"/>
                  <w:sz w:val="22"/>
                  <w:szCs w:val="22"/>
                  <w:rtl w:val="0"/>
                </w:rPr>
                <w:t xml:space="preserve">http://nvlpubs.nist.gov/nistpubs/SpecialPublications/NIST.SP.800-53r4.pdf</w:t>
              </w:r>
            </w:hyperlink>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Unauthorized Exposure of PII</w:t>
      </w:r>
    </w:p>
    <w:p w:rsidR="00000000" w:rsidDel="00000000" w:rsidP="00000000" w:rsidRDefault="00000000" w:rsidRPr="00000000">
      <w:pPr>
        <w:pBdr/>
        <w:contextualSpacing w:val="0"/>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Upon confirmation by the ITSO that personally identifiable information may have been exposed, the department in which the exposure occurred shall be responsible for notifying the individuals  whose personally identifiable information was exposed, as well as offering credit monitoring as arranged through the university’s Procurement Department. If the unauthorized data exposure consisted of information that was not related to university business, the department shall have no obligation to offer credit monitoring and the matter may also be referred to human resources for review in compliance with the acceptable use policy</w:t>
      </w:r>
      <w:r w:rsidDel="00000000" w:rsidR="00000000" w:rsidRPr="00000000">
        <w:rPr>
          <w:rFonts w:ascii="Arial" w:cs="Arial" w:eastAsia="Arial" w:hAnsi="Arial"/>
          <w:sz w:val="24"/>
          <w:szCs w:val="24"/>
          <w:rtl w:val="0"/>
        </w:rPr>
        <w:t xml:space="preserve">.</w:t>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Definitions</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Driver’s License Number </w:t>
      </w:r>
      <w:r w:rsidDel="00000000" w:rsidR="00000000" w:rsidRPr="00000000">
        <w:rPr>
          <w:rFonts w:ascii="Arial" w:cs="Arial" w:eastAsia="Arial" w:hAnsi="Arial"/>
          <w:sz w:val="24"/>
          <w:szCs w:val="24"/>
          <w:rtl w:val="0"/>
        </w:rPr>
        <w:t xml:space="preserve">also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includes any identification card number issued by a state in lieu of a driver’s license number.</w:t>
      </w:r>
    </w:p>
    <w:p w:rsidR="00000000" w:rsidDel="00000000" w:rsidP="00000000" w:rsidRDefault="00000000" w:rsidRPr="00000000">
      <w:pPr>
        <w:pBd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Security number (SSN)</w:t>
      </w:r>
      <w:r w:rsidDel="00000000" w:rsidR="00000000" w:rsidRPr="00000000">
        <w:rPr>
          <w:rFonts w:ascii="Arial" w:cs="Arial" w:eastAsia="Arial" w:hAnsi="Arial"/>
          <w:sz w:val="24"/>
          <w:szCs w:val="24"/>
          <w:rtl w:val="0"/>
        </w:rPr>
        <w:t xml:space="preserve"> include those issued to persons by the United States Social Security Administration, and also those issued to individuals by the United States government in lieu of an SSN. SSNs also include nation-based identification numbers issued to individuals by other countries. SSNs also include railroad numbers. SSNs do not include tax IDs issued to corporations.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References</w:t>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NIST Cyptographic Toolkit http://csrc.nist.gov/groups/ST/toolkit/index.html</w:t>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Dealing with Data Exposures</w:t>
      </w:r>
      <w:r w:rsidDel="00000000" w:rsidR="00000000" w:rsidRPr="00000000">
        <w:rPr>
          <w:rFonts w:ascii="Arial" w:cs="Arial" w:eastAsia="Arial" w:hAnsi="Arial"/>
          <w:b w:val="1"/>
          <w:sz w:val="24"/>
          <w:szCs w:val="24"/>
          <w:rtl w:val="0"/>
        </w:rPr>
        <w:t xml:space="preserve"> </w:t>
      </w:r>
      <w:hyperlink r:id="rId95">
        <w:r w:rsidDel="00000000" w:rsidR="00000000" w:rsidRPr="00000000">
          <w:rPr>
            <w:rFonts w:ascii="Arial" w:cs="Arial" w:eastAsia="Arial" w:hAnsi="Arial"/>
            <w:color w:val="1155cc"/>
            <w:sz w:val="24"/>
            <w:szCs w:val="24"/>
            <w:u w:val="single"/>
            <w:rtl w:val="0"/>
          </w:rPr>
          <w:t xml:space="preserve">http://security.vt.edu/content/dam/security_vt_edu/downloads/forms/data_exposure/data_expsoure.pdf</w:t>
        </w:r>
      </w:hyperlink>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Protecting Sensitive Data </w:t>
      </w:r>
      <w:hyperlink r:id="rId96">
        <w:r w:rsidDel="00000000" w:rsidR="00000000" w:rsidRPr="00000000">
          <w:rPr>
            <w:rFonts w:ascii="Arial" w:cs="Arial" w:eastAsia="Arial" w:hAnsi="Arial"/>
            <w:color w:val="1155cc"/>
            <w:sz w:val="24"/>
            <w:szCs w:val="24"/>
            <w:u w:val="single"/>
            <w:rtl w:val="0"/>
          </w:rPr>
          <w:t xml:space="preserve">http://security.vt.edu/resources/sensitiveinfo.html</w:t>
        </w:r>
      </w:hyperlink>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Railroad numbers </w:t>
      </w:r>
      <w:hyperlink r:id="rId97">
        <w:r w:rsidDel="00000000" w:rsidR="00000000" w:rsidRPr="00000000">
          <w:rPr>
            <w:rFonts w:ascii="Arial" w:cs="Arial" w:eastAsia="Arial" w:hAnsi="Arial"/>
            <w:color w:val="1155cc"/>
            <w:sz w:val="24"/>
            <w:szCs w:val="24"/>
            <w:u w:val="single"/>
            <w:rtl w:val="0"/>
          </w:rPr>
          <w:t xml:space="preserve">https://secure.ssa.gov/poms.nsf/lnx/011022</w:t>
        </w:r>
      </w:hyperlink>
      <w:hyperlink r:id="rId98">
        <w:r w:rsidDel="00000000" w:rsidR="00000000" w:rsidRPr="00000000">
          <w:rPr>
            <w:rFonts w:ascii="Arial" w:cs="Arial" w:eastAsia="Arial" w:hAnsi="Arial"/>
            <w:color w:val="1155cc"/>
            <w:sz w:val="24"/>
            <w:szCs w:val="24"/>
            <w:u w:val="single"/>
            <w:rtl w:val="0"/>
          </w:rPr>
          <w:t xml:space="preserve">5045</w:t>
        </w:r>
      </w:hyperlink>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Approval and Revisions</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standard supersedes and replaces Security Standards for Social Security Numbers and Standard for Storing and Transmitting Personally Identifying Information.   </w:t>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Approved by Scott Midkiff, Vice President for Information Technology and CIO, DATE</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vertAlign w:val="baseline"/>
      </w:rPr>
    </w:rPrDefault>
    <w:pPrDefault>
      <w:pPr>
        <w:keepNext w:val="0"/>
        <w:keepLines w:val="0"/>
        <w:widowControl w:val="0"/>
        <w:pBdr/>
        <w:spacing w:after="100" w:before="10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480" w:line="240" w:lineRule="auto"/>
      <w:ind w:left="0" w:right="0" w:firstLine="0"/>
      <w:jc w:val="left"/>
    </w:pPr>
    <w:rPr>
      <w:rFonts w:ascii="Questrial" w:cs="Questrial" w:eastAsia="Questrial" w:hAnsi="Questrial"/>
      <w:b w:val="1"/>
      <w:i w:val="0"/>
      <w:smallCaps w:val="0"/>
      <w:strike w:val="0"/>
      <w:color w:val="535353"/>
      <w:sz w:val="28"/>
      <w:szCs w:val="28"/>
      <w:u w:val="none"/>
      <w:vertAlign w:val="baseline"/>
    </w:rPr>
  </w:style>
  <w:style w:type="paragraph" w:styleId="Heading2">
    <w:name w:val="heading 2"/>
    <w:basedOn w:val="Normal"/>
    <w:next w:val="Normal"/>
    <w:pPr>
      <w:keepNext w:val="1"/>
      <w:keepLines w:val="1"/>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40"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40"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40"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40"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00" w:before="100" w:line="240" w:lineRule="auto"/>
      <w:ind w:left="0" w:right="0" w:firstLine="0"/>
      <w:jc w:val="left"/>
    </w:pPr>
    <w:rPr>
      <w:rFonts w:ascii="Questrial" w:cs="Questrial" w:eastAsia="Questrial" w:hAnsi="Questrial"/>
      <w:b w:val="0"/>
      <w:i w:val="0"/>
      <w:smallCaps w:val="0"/>
      <w:strike w:val="0"/>
      <w:color w:val="000000"/>
      <w:sz w:val="56"/>
      <w:szCs w:val="56"/>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spacing w:after="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law.lis.virginia.gov/vacode/18.2-186.3/" TargetMode="External"/><Relationship Id="rId42" Type="http://schemas.openxmlformats.org/officeDocument/2006/relationships/hyperlink" Target="http://law.lis.virginia.gov/vacode/18.2-186.3/" TargetMode="External"/><Relationship Id="rId41" Type="http://schemas.openxmlformats.org/officeDocument/2006/relationships/hyperlink" Target="http://law.lis.virginia.gov/vacode/18.2-186.3/" TargetMode="External"/><Relationship Id="rId44" Type="http://schemas.openxmlformats.org/officeDocument/2006/relationships/hyperlink" Target="http://it.vt.edu/content/dam/it_vt_edu/policies/Procurement_STANDARD_signed_1-19-11.pdf" TargetMode="External"/><Relationship Id="rId43" Type="http://schemas.openxmlformats.org/officeDocument/2006/relationships/hyperlink" Target="http://it.vt.edu/content/dam/it_vt_edu/policies/Procurement_STANDARD_signed_1-19-11.pdf" TargetMode="External"/><Relationship Id="rId46" Type="http://schemas.openxmlformats.org/officeDocument/2006/relationships/hyperlink" Target="http://law.lis.virginia.gov/vacode/18.2-186.6/" TargetMode="External"/><Relationship Id="rId45" Type="http://schemas.openxmlformats.org/officeDocument/2006/relationships/hyperlink" Target="http://law.lis.virginia.gov/vacode/18.2-186.6/" TargetMode="External"/><Relationship Id="rId48" Type="http://schemas.openxmlformats.org/officeDocument/2006/relationships/hyperlink" Target="http://law.lis.virginia.gov/vacode/18.2-186.6/" TargetMode="External"/><Relationship Id="rId47" Type="http://schemas.openxmlformats.org/officeDocument/2006/relationships/hyperlink" Target="http://law.lis.virginia.gov/vacode/18.2-186.3/" TargetMode="External"/><Relationship Id="rId49" Type="http://schemas.openxmlformats.org/officeDocument/2006/relationships/hyperlink" Target="http://registrar.vt.edu/contact/FERPA.html" TargetMode="External"/><Relationship Id="rId31" Type="http://schemas.openxmlformats.org/officeDocument/2006/relationships/hyperlink" Target="http://law.lis.virginia.gov/vacode/18.2-186.6/" TargetMode="External"/><Relationship Id="rId30" Type="http://schemas.openxmlformats.org/officeDocument/2006/relationships/hyperlink" Target="http://law.lis.virginia.gov/vacode/18.2-186.6/" TargetMode="External"/><Relationship Id="rId33" Type="http://schemas.openxmlformats.org/officeDocument/2006/relationships/hyperlink" Target="http://www.policies.vt.edu/7025.pdf" TargetMode="External"/><Relationship Id="rId32" Type="http://schemas.openxmlformats.org/officeDocument/2006/relationships/hyperlink" Target="http://law.lis.virginia.gov/vacode/18.2-186.6/" TargetMode="External"/><Relationship Id="rId35" Type="http://schemas.openxmlformats.org/officeDocument/2006/relationships/hyperlink" Target="http://it.vt.edu/content/dam/it_vt_edu/policies/Procurement_STANDARD_signed_1-19-11.pdf" TargetMode="External"/><Relationship Id="rId34" Type="http://schemas.openxmlformats.org/officeDocument/2006/relationships/hyperlink" Target="http://www.policies.vt.edu/7025.pdf" TargetMode="External"/><Relationship Id="rId37" Type="http://schemas.openxmlformats.org/officeDocument/2006/relationships/hyperlink" Target="http://it.vt.edu/content/dam/it_vt_edu/policies/Procurement_STANDARD_signed_1-19-11.pdf" TargetMode="External"/><Relationship Id="rId36" Type="http://schemas.openxmlformats.org/officeDocument/2006/relationships/hyperlink" Target="http://it.vt.edu/content/dam/it_vt_edu/policies/Procurement_STANDARD_signed_1-19-11.pdf" TargetMode="External"/><Relationship Id="rId39" Type="http://schemas.openxmlformats.org/officeDocument/2006/relationships/hyperlink" Target="http://law.lis.virginia.gov/vacode/18.2-186.6/" TargetMode="External"/><Relationship Id="rId38" Type="http://schemas.openxmlformats.org/officeDocument/2006/relationships/hyperlink" Target="http://law.lis.virginia.gov/vacode/18.2-186.6/" TargetMode="External"/><Relationship Id="rId20" Type="http://schemas.openxmlformats.org/officeDocument/2006/relationships/hyperlink" Target="http://www.it.vt.edu/publications/pdf/PII_October2011_Rev_1.pdf" TargetMode="External"/><Relationship Id="rId22" Type="http://schemas.openxmlformats.org/officeDocument/2006/relationships/hyperlink" Target="http://www.policies.vt.edu/7025.pdf" TargetMode="External"/><Relationship Id="rId21" Type="http://schemas.openxmlformats.org/officeDocument/2006/relationships/hyperlink" Target="http://www.policies.vt.edu/7025.pdf" TargetMode="External"/><Relationship Id="rId24" Type="http://schemas.openxmlformats.org/officeDocument/2006/relationships/hyperlink" Target="http://it.vt.edu/content/dam/it_vt_edu/policies/Procurement_STANDARD_signed_1-19-11.pdf" TargetMode="External"/><Relationship Id="rId23" Type="http://schemas.openxmlformats.org/officeDocument/2006/relationships/hyperlink" Target="http://it.vt.edu/content/dam/it_vt_edu/policies/Procurement_STANDARD_signed_1-19-11.pdf" TargetMode="External"/><Relationship Id="rId26" Type="http://schemas.openxmlformats.org/officeDocument/2006/relationships/hyperlink" Target="http://www.policies.vt.edu/7025.pdf" TargetMode="External"/><Relationship Id="rId25" Type="http://schemas.openxmlformats.org/officeDocument/2006/relationships/hyperlink" Target="http://www.policies.vt.edu/7025.pdf" TargetMode="External"/><Relationship Id="rId28" Type="http://schemas.openxmlformats.org/officeDocument/2006/relationships/hyperlink" Target="http://www.ecfr.gov/cgi-bin/text-idx?rgn=div5&amp;node=16:1.0.1.3.38" TargetMode="External"/><Relationship Id="rId27" Type="http://schemas.openxmlformats.org/officeDocument/2006/relationships/hyperlink" Target="http://www.ecfr.gov/cgi-bin/text-idx?rgn=div5&amp;node=16:1.0.1.3.38" TargetMode="External"/><Relationship Id="rId29" Type="http://schemas.openxmlformats.org/officeDocument/2006/relationships/hyperlink" Target="http://www.ecfr.gov/cgi-bin/text-idx?rgn=div5&amp;node=16:1.0.1.3.38" TargetMode="External"/><Relationship Id="rId95" Type="http://schemas.openxmlformats.org/officeDocument/2006/relationships/hyperlink" Target="http://security.vt.edu/content/dam/security_vt_edu/downloads/forms/data_exposure/data_expsoure.pdf" TargetMode="External"/><Relationship Id="rId94" Type="http://schemas.openxmlformats.org/officeDocument/2006/relationships/hyperlink" Target="http://nvlpubs.nist.gov/nistpubs/SpecialPublications/NIST.SP.800-53r4.pdf" TargetMode="External"/><Relationship Id="rId97" Type="http://schemas.openxmlformats.org/officeDocument/2006/relationships/hyperlink" Target="https://secure.ssa.gov/poms.nsf/lnx/0110225045" TargetMode="External"/><Relationship Id="rId96" Type="http://schemas.openxmlformats.org/officeDocument/2006/relationships/hyperlink" Target="http://security.vt.edu/resources/sensitiveinfo.html" TargetMode="External"/><Relationship Id="rId11" Type="http://schemas.openxmlformats.org/officeDocument/2006/relationships/hyperlink" Target="http://it.vt.edu/content/dam/it_vt_edu/policies/Procurement_STANDARD_signed_1-19-11.pdf" TargetMode="External"/><Relationship Id="rId10" Type="http://schemas.openxmlformats.org/officeDocument/2006/relationships/hyperlink" Target="http://it.vt.edu/content/dam/it_vt_edu/policies/Procurement_STANDARD_signed_1-19-11.pdf" TargetMode="External"/><Relationship Id="rId98" Type="http://schemas.openxmlformats.org/officeDocument/2006/relationships/hyperlink" Target="https://secure.ssa.gov/poms.nsf/lnx/0110225045" TargetMode="External"/><Relationship Id="rId13" Type="http://schemas.openxmlformats.org/officeDocument/2006/relationships/hyperlink" Target="http://law.lis.virginia.gov/vacode/2.2-3808/" TargetMode="External"/><Relationship Id="rId12" Type="http://schemas.openxmlformats.org/officeDocument/2006/relationships/hyperlink" Target="http://law.lis.virginia.gov/vacode/2.2-3808/" TargetMode="External"/><Relationship Id="rId91" Type="http://schemas.openxmlformats.org/officeDocument/2006/relationships/hyperlink" Target="https://www.oesrc.researchcompliance.vt.edu/system/files/private/technology_control_plan_tcp_guidelines_11-10-2014.pdf" TargetMode="External"/><Relationship Id="rId90" Type="http://schemas.openxmlformats.org/officeDocument/2006/relationships/hyperlink" Target="https://www.gpo.gov/fdsys/granule/CFR-2002-title37-vol1/CFR-2002-title37-vol1-part5" TargetMode="External"/><Relationship Id="rId93" Type="http://schemas.openxmlformats.org/officeDocument/2006/relationships/hyperlink" Target="http://farsite.hill.af.mil/reghtml/regs/far2afmcfars/fardfars/Far/52_000.htm#P891_130989" TargetMode="External"/><Relationship Id="rId92" Type="http://schemas.openxmlformats.org/officeDocument/2006/relationships/hyperlink" Target="http://www.dtic.mil/whs/directives/corres/pdf/858201p.pdf" TargetMode="External"/><Relationship Id="rId15" Type="http://schemas.openxmlformats.org/officeDocument/2006/relationships/hyperlink" Target="http://law.lis.virginia.gov/vacode/18.2-186.6/" TargetMode="External"/><Relationship Id="rId14" Type="http://schemas.openxmlformats.org/officeDocument/2006/relationships/hyperlink" Target="http://law.lis.virginia.gov/vacode/18.2-186.6/" TargetMode="External"/><Relationship Id="rId17" Type="http://schemas.openxmlformats.org/officeDocument/2006/relationships/hyperlink" Target="http://law.lis.virginia.gov/vacode/18.2-186.3/" TargetMode="External"/><Relationship Id="rId16" Type="http://schemas.openxmlformats.org/officeDocument/2006/relationships/hyperlink" Target="http://law.lis.virginia.gov/vacode/18.2-186.3/" TargetMode="External"/><Relationship Id="rId19" Type="http://schemas.openxmlformats.org/officeDocument/2006/relationships/hyperlink" Target="http://www.policies.vt.edu/3610.pdf" TargetMode="External"/><Relationship Id="rId18" Type="http://schemas.openxmlformats.org/officeDocument/2006/relationships/hyperlink" Target="http://www.it.vt.edu/publications/pdf/PII_October2011_Rev_1.pdf" TargetMode="External"/><Relationship Id="rId84" Type="http://schemas.openxmlformats.org/officeDocument/2006/relationships/hyperlink" Target="https://www.gpo.gov/fdsys/granule/USCODE-2010-title42/USCODE-2010-title42-chap23-divsnA-subchapXI-sec2168" TargetMode="External"/><Relationship Id="rId83" Type="http://schemas.openxmlformats.org/officeDocument/2006/relationships/hyperlink" Target="http://www.ecfr.gov/cgi-bin/text-idx?tpl=/ecfrbrowse/Title10/10cfr810_main_02.tpl" TargetMode="External"/><Relationship Id="rId86" Type="http://schemas.openxmlformats.org/officeDocument/2006/relationships/hyperlink" Target="http://www.ecfr.gov/cgi-bin/text-idx?SID=2b44158b17abd90e0056f2cf97d5a257&amp;mc=true&amp;tpl=/ecfrbrowse/Title31/31cfrv3_02.tpl#0" TargetMode="External"/><Relationship Id="rId85" Type="http://schemas.openxmlformats.org/officeDocument/2006/relationships/hyperlink" Target="https://www.gpo.gov/fdsys/granule/USCODE-2010-title42/USCODE-2010-title42-chap23-divsnA-subchapXI-sec2168" TargetMode="External"/><Relationship Id="rId88" Type="http://schemas.openxmlformats.org/officeDocument/2006/relationships/hyperlink" Target="https://www.gpo.gov/fdsys/granule/CFR-2002-title37-vol1/CFR-2002-title37-vol1-part5" TargetMode="External"/><Relationship Id="rId87" Type="http://schemas.openxmlformats.org/officeDocument/2006/relationships/hyperlink" Target="http://www.ecfr.gov/cgi-bin/text-idx?SID=2b44158b17abd90e0056f2cf97d5a257&amp;mc=true&amp;tpl=/ecfrbrowse/Title31/31cfrv3_02.tpl#0" TargetMode="External"/><Relationship Id="rId89" Type="http://schemas.openxmlformats.org/officeDocument/2006/relationships/hyperlink" Target="https://www.gpo.gov/fdsys/granule/CFR-2002-title37-vol1/CFR-2002-title37-vol1-part5" TargetMode="External"/><Relationship Id="rId80" Type="http://schemas.openxmlformats.org/officeDocument/2006/relationships/hyperlink" Target="http://www.ecfr.gov/cgi-bin/text-idx?c=ecfr;rgn=div5;view=text;node=27%3A3.0.1.2.2;idno=27;sid=f4e4c0fd4d94e9106565233ee81c773a;cc=ecfr" TargetMode="External"/><Relationship Id="rId82" Type="http://schemas.openxmlformats.org/officeDocument/2006/relationships/hyperlink" Target="http://www.ecfr.gov/cgi-bin/text-idx?tpl=/ecfrbrowse/Title10/10cfr810_main_02.tpl" TargetMode="External"/><Relationship Id="rId81" Type="http://schemas.openxmlformats.org/officeDocument/2006/relationships/hyperlink" Target="http://www.ecfr.gov/cgi-bin/text-idx?rgn=div5&amp;node=10:2.0.1.1.2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it.vt.edu/content/dam/it_vt_edu/policies/Procurement_STANDARD_signed_1-19-11.pdf" TargetMode="External"/><Relationship Id="rId5" Type="http://schemas.openxmlformats.org/officeDocument/2006/relationships/hyperlink" Target="http://www.policies.vt.edu/1060.pdf" TargetMode="External"/><Relationship Id="rId6" Type="http://schemas.openxmlformats.org/officeDocument/2006/relationships/hyperlink" Target="http://www.policies.vt.edu/1060.pdf" TargetMode="External"/><Relationship Id="rId7" Type="http://schemas.openxmlformats.org/officeDocument/2006/relationships/hyperlink" Target="http://www.policies.vt.edu/1060.pdf" TargetMode="External"/><Relationship Id="rId8" Type="http://schemas.openxmlformats.org/officeDocument/2006/relationships/hyperlink" Target="http://it.vt.edu/content/dam/it_vt_edu/policies/Procurement_STANDARD_signed_1-19-11.pdf" TargetMode="External"/><Relationship Id="rId73" Type="http://schemas.openxmlformats.org/officeDocument/2006/relationships/hyperlink" Target="https://obamawhitehouse.archives.gov/the-press-office/2010/11/04/executive-order-13556-controlled-unclassified-information" TargetMode="External"/><Relationship Id="rId72" Type="http://schemas.openxmlformats.org/officeDocument/2006/relationships/hyperlink" Target="http://www.policies.vt.edu/12115.pdf" TargetMode="External"/><Relationship Id="rId75" Type="http://schemas.openxmlformats.org/officeDocument/2006/relationships/hyperlink" Target="https://www.federalregister.gov/documents/2016/09/14/2016-21665/controlled-unclassified-information" TargetMode="External"/><Relationship Id="rId74" Type="http://schemas.openxmlformats.org/officeDocument/2006/relationships/hyperlink" Target="https://obamawhitehouse.archives.gov/the-press-office/2010/11/04/executive-order-13556-controlled-unclassified-information" TargetMode="External"/><Relationship Id="rId77" Type="http://schemas.openxmlformats.org/officeDocument/2006/relationships/hyperlink" Target="http://www.ecfr.gov/cgi-bin/text-idx?SID=a010f4662b853e201c87b56dab273b42&amp;mc=true&amp;tpl=/ecfrbrowse/Title15/15CVIIsubchapC.tpl" TargetMode="External"/><Relationship Id="rId76" Type="http://schemas.openxmlformats.org/officeDocument/2006/relationships/hyperlink" Target="https://www.federalregister.gov/documents/2016/09/14/2016-21665/controlled-unclassified-information" TargetMode="External"/><Relationship Id="rId79" Type="http://schemas.openxmlformats.org/officeDocument/2006/relationships/hyperlink" Target="http://www.ecfr.gov/cgi-bin/text-idx?c=ecfr;rgn=div5;view=text;node=27%3A3.0.1.2.2;idno=27;sid=f4e4c0fd4d94e9106565233ee81c773a;cc=ecfr" TargetMode="External"/><Relationship Id="rId78" Type="http://schemas.openxmlformats.org/officeDocument/2006/relationships/hyperlink" Target="http://www.ecfr.gov/cgi-bin/text-idx?tpl=/ecfrbrowse/Title22/22cfr120_main_02.tpl" TargetMode="External"/><Relationship Id="rId71" Type="http://schemas.openxmlformats.org/officeDocument/2006/relationships/hyperlink" Target="https://osp.vt.edu/content/dam/osp_vt_edu/policies/vt_osp_export_control_policy_osp-29-05.pdf" TargetMode="External"/><Relationship Id="rId70" Type="http://schemas.openxmlformats.org/officeDocument/2006/relationships/hyperlink" Target="http://www.policies.vt.edu/13045.pdf" TargetMode="External"/><Relationship Id="rId62" Type="http://schemas.openxmlformats.org/officeDocument/2006/relationships/hyperlink" Target="http://www.ecfr.gov/cgi-bin/text-idx?tpl=/ecfrbrowse/Title34/34cfr99_main_02.tpl" TargetMode="External"/><Relationship Id="rId61" Type="http://schemas.openxmlformats.org/officeDocument/2006/relationships/hyperlink" Target="http://www.ecfr.gov/cgi-bin/text-idx?tpl=/ecfrbrowse/Title34/34cfr99_main_02.tpl" TargetMode="External"/><Relationship Id="rId64" Type="http://schemas.openxmlformats.org/officeDocument/2006/relationships/hyperlink" Target="http://www.ecfr.gov/cgi-bin/text-idx?tpl=/ecfrbrowse/Title34/34cfr99_main_02.tpl" TargetMode="External"/><Relationship Id="rId63" Type="http://schemas.openxmlformats.org/officeDocument/2006/relationships/hyperlink" Target="http://www.ecfr.gov/cgi-bin/text-idx?tpl=/ecfrbrowse/Title34/34cfr99_main_02.tpl" TargetMode="External"/><Relationship Id="rId66" Type="http://schemas.openxmlformats.org/officeDocument/2006/relationships/hyperlink" Target="http://www.ecfr.gov/cgi-bin/text-idx?tpl=/ecfrbrowse/Title34/34cfr99_main_02.tpl" TargetMode="External"/><Relationship Id="rId65" Type="http://schemas.openxmlformats.org/officeDocument/2006/relationships/hyperlink" Target="http://www.ecfr.gov/cgi-bin/text-idx?tpl=/ecfrbrowse/Title34/34cfr99_main_02.tpl" TargetMode="External"/><Relationship Id="rId68" Type="http://schemas.openxmlformats.org/officeDocument/2006/relationships/hyperlink" Target="https://www.oesrc.researchcompliance.vt.edu/system/files/private/virginia_tech_technology_control_plan_2015_02_09.pdf" TargetMode="External"/><Relationship Id="rId67" Type="http://schemas.openxmlformats.org/officeDocument/2006/relationships/hyperlink" Target="http://www.ecfr.gov/cgi-bin/text-idx?tpl=/ecfrbrowse/Title34/34cfr99_main_02.tpl" TargetMode="External"/><Relationship Id="rId60" Type="http://schemas.openxmlformats.org/officeDocument/2006/relationships/hyperlink" Target="http://www.ecfr.gov/cgi-bin/text-idx?tpl=/ecfrbrowse/Title34/34cfr99_main_02.tpl" TargetMode="External"/><Relationship Id="rId69" Type="http://schemas.openxmlformats.org/officeDocument/2006/relationships/hyperlink" Target="http://www.policies.vt.edu/13045.pdf" TargetMode="External"/><Relationship Id="rId51" Type="http://schemas.openxmlformats.org/officeDocument/2006/relationships/hyperlink" Target="http://registrar.vt.edu/contact/FERPA.html" TargetMode="External"/><Relationship Id="rId50" Type="http://schemas.openxmlformats.org/officeDocument/2006/relationships/hyperlink" Target="http://registrar.vt.edu/contact/FERPA.html" TargetMode="External"/><Relationship Id="rId53" Type="http://schemas.openxmlformats.org/officeDocument/2006/relationships/hyperlink" Target="http://registrar.vt.edu/faculty-toolbox.html" TargetMode="External"/><Relationship Id="rId52" Type="http://schemas.openxmlformats.org/officeDocument/2006/relationships/hyperlink" Target="http://registrar.vt.edu/faculty-toolbox.html" TargetMode="External"/><Relationship Id="rId55" Type="http://schemas.openxmlformats.org/officeDocument/2006/relationships/hyperlink" Target="http://www.ecfr.gov/cgi-bin/text-idx?tpl=/ecfrbrowse/Title34/34cfr99_main_02.tpl" TargetMode="External"/><Relationship Id="rId54" Type="http://schemas.openxmlformats.org/officeDocument/2006/relationships/hyperlink" Target="http://registrar.vt.edu/faculty-toolbox.html" TargetMode="External"/><Relationship Id="rId57" Type="http://schemas.openxmlformats.org/officeDocument/2006/relationships/hyperlink" Target="http://www.ecfr.gov/cgi-bin/text-idx?tpl=/ecfrbrowse/Title34/34cfr99_main_02.tpl" TargetMode="External"/><Relationship Id="rId56" Type="http://schemas.openxmlformats.org/officeDocument/2006/relationships/hyperlink" Target="http://www.ecfr.gov/cgi-bin/text-idx?tpl=/ecfrbrowse/Title34/34cfr99_main_02.tpl" TargetMode="External"/><Relationship Id="rId59" Type="http://schemas.openxmlformats.org/officeDocument/2006/relationships/hyperlink" Target="http://www.ecfr.gov/cgi-bin/text-idx?tpl=/ecfrbrowse/Title34/34cfr99_main_02.tpl" TargetMode="External"/><Relationship Id="rId58" Type="http://schemas.openxmlformats.org/officeDocument/2006/relationships/hyperlink" Target="http://www.ecfr.gov/cgi-bin/text-idx?tpl=/ecfrbrowse/Title34/34cfr99_main_02.t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